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4438EE7" w:rsidR="005E7182" w:rsidRPr="00DD23B7" w:rsidRDefault="007A35AC"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w:t>
      </w:r>
      <w:r>
        <w:rPr>
          <w:bCs/>
          <w:noProof w:val="0"/>
          <w:sz w:val="24"/>
          <w:szCs w:val="24"/>
        </w:rPr>
        <w:t xml:space="preserve"> WG2</w:t>
      </w:r>
      <w:r w:rsidRPr="00DD23B7">
        <w:rPr>
          <w:bCs/>
          <w:noProof w:val="0"/>
          <w:sz w:val="24"/>
          <w:szCs w:val="24"/>
        </w:rPr>
        <w:t xml:space="preserve"> #</w:t>
      </w:r>
      <w:r>
        <w:rPr>
          <w:bCs/>
          <w:noProof w:val="0"/>
          <w:sz w:val="24"/>
          <w:szCs w:val="24"/>
        </w:rPr>
        <w:t>132</w:t>
      </w:r>
      <w:r w:rsidR="005E7182">
        <w:tab/>
      </w:r>
      <w:r w:rsidR="009C736A" w:rsidRPr="009C736A">
        <w:rPr>
          <w:bCs/>
          <w:noProof w:val="0"/>
          <w:sz w:val="24"/>
          <w:szCs w:val="24"/>
          <w:lang w:val="en-DE"/>
        </w:rPr>
        <w:t>R2-2509019</w:t>
      </w:r>
    </w:p>
    <w:bookmarkEnd w:id="0"/>
    <w:bookmarkEnd w:id="1"/>
    <w:p w14:paraId="5145F932" w14:textId="77777777" w:rsidR="00D27018" w:rsidRPr="00137C44" w:rsidRDefault="00D27018" w:rsidP="00D27018">
      <w:pPr>
        <w:pStyle w:val="Header"/>
        <w:rPr>
          <w:bCs/>
          <w:noProof w:val="0"/>
          <w:sz w:val="24"/>
          <w:szCs w:val="24"/>
        </w:rPr>
      </w:pPr>
      <w:r>
        <w:rPr>
          <w:bCs/>
          <w:noProof w:val="0"/>
          <w:sz w:val="24"/>
          <w:szCs w:val="24"/>
        </w:rPr>
        <w:t>Dallas, USA</w:t>
      </w:r>
      <w:r w:rsidRPr="00137C44">
        <w:rPr>
          <w:bCs/>
          <w:noProof w:val="0"/>
          <w:sz w:val="24"/>
          <w:szCs w:val="24"/>
        </w:rPr>
        <w:t xml:space="preserve">, </w:t>
      </w:r>
      <w:r>
        <w:rPr>
          <w:bCs/>
          <w:noProof w:val="0"/>
          <w:sz w:val="24"/>
          <w:szCs w:val="24"/>
        </w:rPr>
        <w:t>17</w:t>
      </w:r>
      <w:r w:rsidRPr="00A43F1A">
        <w:rPr>
          <w:bCs/>
          <w:noProof w:val="0"/>
          <w:sz w:val="24"/>
          <w:szCs w:val="24"/>
          <w:vertAlign w:val="superscript"/>
        </w:rPr>
        <w:t>th</w:t>
      </w:r>
      <w:r w:rsidRPr="00137C44">
        <w:rPr>
          <w:bCs/>
          <w:noProof w:val="0"/>
          <w:sz w:val="24"/>
          <w:szCs w:val="24"/>
        </w:rPr>
        <w:t xml:space="preserve"> – </w:t>
      </w:r>
      <w:r>
        <w:rPr>
          <w:bCs/>
          <w:noProof w:val="0"/>
          <w:sz w:val="24"/>
          <w:szCs w:val="24"/>
        </w:rPr>
        <w:t>21</w:t>
      </w:r>
      <w:r>
        <w:rPr>
          <w:bCs/>
          <w:noProof w:val="0"/>
          <w:sz w:val="24"/>
          <w:szCs w:val="24"/>
          <w:vertAlign w:val="superscript"/>
        </w:rPr>
        <w:t>st</w:t>
      </w:r>
      <w:r>
        <w:rPr>
          <w:bCs/>
          <w:noProof w:val="0"/>
          <w:sz w:val="24"/>
          <w:szCs w:val="24"/>
        </w:rPr>
        <w:t xml:space="preserve"> November</w:t>
      </w:r>
      <w:r w:rsidRPr="00137C44">
        <w:rPr>
          <w:bCs/>
          <w:noProof w:val="0"/>
          <w:sz w:val="24"/>
          <w:szCs w:val="24"/>
        </w:rPr>
        <w:t xml:space="preserve">, </w:t>
      </w:r>
      <w:r>
        <w:rPr>
          <w:bCs/>
          <w:noProof w:val="0"/>
          <w:sz w:val="24"/>
          <w:szCs w:val="24"/>
        </w:rPr>
        <w:t>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3BBD0735"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BF60F6" w:rsidRPr="00BF60F6">
        <w:rPr>
          <w:rFonts w:cs="Arial"/>
          <w:b/>
          <w:bCs/>
          <w:sz w:val="24"/>
          <w:lang w:val="en-US"/>
        </w:rPr>
        <w:t>10.2.2</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 Limited</w:t>
      </w:r>
    </w:p>
    <w:p w14:paraId="30E02943" w14:textId="3DF639AB" w:rsidR="0034111C" w:rsidRPr="00DD23B7" w:rsidRDefault="0034111C" w:rsidP="001D3E33">
      <w:pPr>
        <w:tabs>
          <w:tab w:val="left" w:pos="1620"/>
        </w:tabs>
        <w:ind w:left="1985" w:hanging="198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EB4413" w:rsidRPr="00EB4413">
        <w:rPr>
          <w:rFonts w:ascii="Arial" w:hAnsi="Arial" w:cs="Arial"/>
          <w:b/>
          <w:bCs/>
        </w:rPr>
        <w:t>6G NTN TN Harmonization requirement</w:t>
      </w:r>
      <w:r w:rsidR="00561184">
        <w:rPr>
          <w:rFonts w:ascii="Arial" w:hAnsi="Arial" w:cs="Arial"/>
          <w:b/>
          <w:bCs/>
        </w:rPr>
        <w:t xml:space="preserve"> </w:t>
      </w:r>
    </w:p>
    <w:p w14:paraId="11685FF7" w14:textId="058EF836"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32F8F" w:rsidRPr="00832F8F">
        <w:rPr>
          <w:rFonts w:ascii="Arial" w:hAnsi="Arial" w:cs="Arial"/>
          <w:b/>
          <w:bCs/>
        </w:rPr>
        <w:t>Discussion and Decision</w:t>
      </w:r>
    </w:p>
    <w:p w14:paraId="0524FCA7" w14:textId="4BF14269" w:rsidR="00B63175" w:rsidRPr="001E429E" w:rsidRDefault="00EE7FA7" w:rsidP="001E429E">
      <w:pPr>
        <w:pStyle w:val="Heading1"/>
      </w:pPr>
      <w:r w:rsidRPr="003E16DD">
        <w:t>Introduction</w:t>
      </w:r>
    </w:p>
    <w:p w14:paraId="79DA9C12" w14:textId="02F42710" w:rsidR="005021E0" w:rsidRPr="008B6A68" w:rsidRDefault="005021E0" w:rsidP="0052000F">
      <w:pPr>
        <w:pStyle w:val="maintext"/>
        <w:ind w:firstLine="480"/>
      </w:pPr>
      <w:bookmarkStart w:id="2" w:name="_Hlk510705081"/>
      <w:r w:rsidRPr="03D06816">
        <w:rPr>
          <w:lang w:val="en-US"/>
        </w:rPr>
        <w:t xml:space="preserve">According to </w:t>
      </w:r>
      <w:r w:rsidR="007C21E1" w:rsidRPr="03D06816">
        <w:rPr>
          <w:lang w:val="en-US"/>
        </w:rPr>
        <w:t>6G study item [1]</w:t>
      </w:r>
      <w:r w:rsidRPr="03D06816">
        <w:rPr>
          <w:lang w:val="en-US"/>
        </w:rPr>
        <w:t xml:space="preserve">, 6GR aim </w:t>
      </w:r>
      <w:r w:rsidR="00881190" w:rsidRPr="03D06816">
        <w:rPr>
          <w:lang w:val="en-US"/>
        </w:rPr>
        <w:t>is to</w:t>
      </w:r>
      <w:r w:rsidRPr="03D06816">
        <w:rPr>
          <w:lang w:val="en-US"/>
        </w:rPr>
        <w:t xml:space="preserve"> </w:t>
      </w:r>
      <w:r w:rsidR="0052000F" w:rsidRPr="03D06816">
        <w:rPr>
          <w:lang w:val="en-US"/>
        </w:rPr>
        <w:t>harmonize</w:t>
      </w:r>
      <w:r w:rsidRPr="03D06816">
        <w:rPr>
          <w:lang w:val="en-US"/>
        </w:rPr>
        <w:t xml:space="preserve"> 6G radio design for TN and NTN.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5021E0" w14:paraId="11A7C6E5" w14:textId="77777777" w:rsidTr="03D06816">
        <w:tc>
          <w:tcPr>
            <w:tcW w:w="9697" w:type="dxa"/>
          </w:tcPr>
          <w:p w14:paraId="52A25D64" w14:textId="77777777" w:rsidR="005021E0" w:rsidRPr="00A50D1B" w:rsidRDefault="005021E0" w:rsidP="03D06816">
            <w:pPr>
              <w:rPr>
                <w:lang w:val="en-US" w:eastAsia="en-GB"/>
              </w:rPr>
            </w:pPr>
            <w:r w:rsidRPr="03D06816">
              <w:rPr>
                <w:lang w:val="en-US"/>
              </w:rPr>
              <w:t>The detailed objectives of the study are:</w:t>
            </w:r>
          </w:p>
          <w:p w14:paraId="39E5B319" w14:textId="77777777" w:rsidR="005021E0" w:rsidRPr="00F70142" w:rsidRDefault="005021E0" w:rsidP="005021E0">
            <w:pPr>
              <w:pStyle w:val="ListParagraph"/>
              <w:numPr>
                <w:ilvl w:val="0"/>
                <w:numId w:val="19"/>
              </w:numPr>
              <w:spacing w:beforeLines="50" w:before="120" w:afterLines="50" w:after="120" w:line="240" w:lineRule="auto"/>
              <w:jc w:val="both"/>
              <w:rPr>
                <w:sz w:val="20"/>
                <w:szCs w:val="20"/>
                <w:lang w:eastAsia="en-GB"/>
              </w:rPr>
            </w:pPr>
            <w:r w:rsidRPr="00F70142">
              <w:rPr>
                <w:sz w:val="20"/>
                <w:szCs w:val="20"/>
              </w:rPr>
              <w:t>Single technology framework based on a stand-alone architecture</w:t>
            </w:r>
            <w:r w:rsidRPr="00F70142">
              <w:rPr>
                <w:sz w:val="20"/>
                <w:szCs w:val="20"/>
                <w:lang w:eastAsia="ja-JP"/>
              </w:rPr>
              <w:t xml:space="preserve"> (Note1)</w:t>
            </w:r>
            <w:r w:rsidRPr="00F70142">
              <w:rPr>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w:t>
            </w:r>
            <w:r w:rsidRPr="0052000F">
              <w:rPr>
                <w:sz w:val="20"/>
                <w:szCs w:val="20"/>
              </w:rPr>
              <w:t>[RAN2],</w:t>
            </w:r>
            <w:r w:rsidRPr="00F70142">
              <w:rPr>
                <w:sz w:val="20"/>
                <w:szCs w:val="20"/>
              </w:rPr>
              <w:t xml:space="preserve"> [RAN3], [RAN4]</w:t>
            </w:r>
          </w:p>
          <w:p w14:paraId="3C14A3E5"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Ensuring appropriate set of functionalities, minimize the adoption of multiple options for the same functionality, avoid excessive configurations, excessive UE capabilities and UE capabilities reporting.</w:t>
            </w:r>
          </w:p>
          <w:p w14:paraId="7EE04B8C"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Energy efficiency and energy saving: both for network and device.</w:t>
            </w:r>
          </w:p>
          <w:p w14:paraId="7DBF455F"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 xml:space="preserve">Enhanced spectral efficiency. </w:t>
            </w:r>
          </w:p>
          <w:p w14:paraId="2DD5561C"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Enhanced overall coverage, focus on cell-edge performance and UL coverage.</w:t>
            </w:r>
          </w:p>
          <w:p w14:paraId="6C5528BE"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Wider channel bandwidth (at least 200MHz) support for 6G deployments at least above 2 GHz, around 7 GHz.</w:t>
            </w:r>
          </w:p>
          <w:p w14:paraId="1A08E02F"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Re-use of existing 5G mid-band (~3.5GHz) site grid for 6G deployments in at least around 7 GHz and targeting comparable coverage to 5G mid-band.</w:t>
            </w:r>
          </w:p>
          <w:p w14:paraId="618D38EC"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Target scalable and forward compatible design for diverse device types.</w:t>
            </w:r>
          </w:p>
          <w:p w14:paraId="01CDAB60"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Improved spectrum utilization and operations taking into account diverse spectrum allocations.</w:t>
            </w:r>
          </w:p>
          <w:p w14:paraId="4A343C18"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Aim at using common 6G Radio design, which meets mobile broadband service requirements as high priority, to also meet vertical needs.</w:t>
            </w:r>
          </w:p>
          <w:p w14:paraId="50F243BB"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highlight w:val="yellow"/>
              </w:rPr>
            </w:pPr>
            <w:r w:rsidRPr="00F70142">
              <w:rPr>
                <w:sz w:val="20"/>
                <w:szCs w:val="20"/>
                <w:highlight w:val="yellow"/>
              </w:rPr>
              <w:t>Aim at a harmonized 6G Radio design for TN and NTN, including their integration.</w:t>
            </w:r>
          </w:p>
          <w:p w14:paraId="791D33B3"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System simplification, including reducing configuration complexity, enabling more efficient Cell/UE management, etc.</w:t>
            </w:r>
          </w:p>
          <w:p w14:paraId="705540E7" w14:textId="77777777" w:rsidR="005021E0" w:rsidRPr="008B6A68" w:rsidRDefault="005021E0" w:rsidP="03D06816">
            <w:pPr>
              <w:rPr>
                <w:rFonts w:eastAsiaTheme="minorEastAsia"/>
                <w:lang w:val="en-US" w:eastAsia="ja-JP"/>
              </w:rPr>
            </w:pPr>
            <w:r w:rsidRPr="03D06816">
              <w:rPr>
                <w:lang w:val="en-US" w:eastAsia="ja-JP"/>
              </w:rPr>
              <w:t>Note1: the term stand-alone architecture does not imply any particular Core network architecture, which is up to SA2 discussion.</w:t>
            </w:r>
          </w:p>
        </w:tc>
      </w:tr>
    </w:tbl>
    <w:p w14:paraId="5B6CC328" w14:textId="248300C6" w:rsidR="00787C03" w:rsidRDefault="00787C03" w:rsidP="005021E0"/>
    <w:p w14:paraId="20E0937C" w14:textId="2834F518" w:rsidR="0052000F" w:rsidRDefault="0052000F" w:rsidP="0052000F">
      <w:pPr>
        <w:pStyle w:val="maintext"/>
        <w:ind w:firstLine="480"/>
      </w:pPr>
      <w:r>
        <w:t>In the RAN2#131-bis meeting, the following has been noted in the chair notes:</w:t>
      </w:r>
    </w:p>
    <w:p w14:paraId="50C17EA6" w14:textId="1D0713D8" w:rsidR="00FD2F09" w:rsidRDefault="00FD2F09" w:rsidP="03D06816">
      <w:pPr>
        <w:pBdr>
          <w:top w:val="single" w:sz="4" w:space="4" w:color="auto"/>
          <w:left w:val="single" w:sz="4" w:space="4" w:color="auto"/>
          <w:bottom w:val="single" w:sz="4" w:space="4" w:color="auto"/>
          <w:right w:val="single" w:sz="4" w:space="4" w:color="auto"/>
        </w:pBdr>
      </w:pPr>
      <w:r w:rsidRPr="03D06816">
        <w:rPr>
          <w:lang w:val="en-US"/>
        </w:rPr>
        <w:t>For next meeting companies should identify essential requirements for NTN and identify which functionality should be considered in the common design with TN and what are NTN specific and whether they are essential.</w:t>
      </w:r>
    </w:p>
    <w:p w14:paraId="7D78133E" w14:textId="12AB6C85" w:rsidR="0096150A" w:rsidRDefault="552795EF" w:rsidP="0052000F">
      <w:pPr>
        <w:pStyle w:val="maintext"/>
        <w:ind w:firstLine="480"/>
      </w:pPr>
      <w:r w:rsidRPr="03D06816">
        <w:rPr>
          <w:lang w:val="en-US"/>
        </w:rPr>
        <w:t xml:space="preserve">According to </w:t>
      </w:r>
      <w:r w:rsidR="45CA8A9D" w:rsidRPr="03D06816">
        <w:rPr>
          <w:lang w:val="en-US"/>
        </w:rPr>
        <w:t>RAN#2 131bis</w:t>
      </w:r>
      <w:r w:rsidR="005021E0" w:rsidRPr="03D06816">
        <w:rPr>
          <w:lang w:val="en-US"/>
        </w:rPr>
        <w:t xml:space="preserve"> </w:t>
      </w:r>
      <w:r w:rsidR="4A3D47DD" w:rsidRPr="03D06816">
        <w:rPr>
          <w:lang w:val="en-US"/>
        </w:rPr>
        <w:t>meeting chair notes</w:t>
      </w:r>
      <w:r w:rsidR="0052000F" w:rsidRPr="03D06816">
        <w:rPr>
          <w:lang w:val="en-US"/>
        </w:rPr>
        <w:t>,</w:t>
      </w:r>
      <w:r w:rsidR="4A3D47DD" w:rsidRPr="03D06816">
        <w:rPr>
          <w:lang w:val="en-US"/>
        </w:rPr>
        <w:t xml:space="preserve"> </w:t>
      </w:r>
      <w:r w:rsidR="005021E0" w:rsidRPr="03D06816">
        <w:rPr>
          <w:lang w:val="en-US"/>
        </w:rPr>
        <w:t>RAN</w:t>
      </w:r>
      <w:r w:rsidR="5972A065" w:rsidRPr="03D06816">
        <w:rPr>
          <w:lang w:val="en-US"/>
        </w:rPr>
        <w:t>2</w:t>
      </w:r>
      <w:r w:rsidR="005021E0" w:rsidRPr="03D06816">
        <w:rPr>
          <w:lang w:val="en-US"/>
        </w:rPr>
        <w:t xml:space="preserve"> </w:t>
      </w:r>
      <w:r w:rsidR="67213924" w:rsidRPr="03D06816">
        <w:rPr>
          <w:lang w:val="en-US"/>
        </w:rPr>
        <w:t>need to</w:t>
      </w:r>
      <w:r w:rsidR="005021E0" w:rsidRPr="03D06816">
        <w:rPr>
          <w:lang w:val="en-US"/>
        </w:rPr>
        <w:t xml:space="preserve"> identify which functionalities can be addressed commonly </w:t>
      </w:r>
      <w:r w:rsidR="0096150A" w:rsidRPr="03D06816">
        <w:rPr>
          <w:lang w:val="en-US"/>
        </w:rPr>
        <w:t>for</w:t>
      </w:r>
      <w:r w:rsidR="005021E0" w:rsidRPr="03D06816">
        <w:rPr>
          <w:lang w:val="en-US"/>
        </w:rPr>
        <w:t xml:space="preserve"> TN and NTN and which functionalities should </w:t>
      </w:r>
      <w:r w:rsidR="092C12F1" w:rsidRPr="03D06816">
        <w:rPr>
          <w:lang w:val="en-US"/>
        </w:rPr>
        <w:t>be kept</w:t>
      </w:r>
      <w:r w:rsidR="005021E0" w:rsidRPr="03D06816">
        <w:rPr>
          <w:lang w:val="en-US"/>
        </w:rPr>
        <w:t xml:space="preserve"> specific to NTN only. </w:t>
      </w:r>
    </w:p>
    <w:p w14:paraId="6C860519" w14:textId="20B38902" w:rsidR="005021E0" w:rsidRDefault="005021E0" w:rsidP="005021E0">
      <w:r>
        <w:t xml:space="preserve">In this </w:t>
      </w:r>
      <w:r w:rsidR="7F7CE37D">
        <w:t>document,</w:t>
      </w:r>
      <w:r>
        <w:t xml:space="preserve"> we are s</w:t>
      </w:r>
      <w:r w:rsidR="0096150A">
        <w:t xml:space="preserve">haring our thoughts on which functionalities can be </w:t>
      </w:r>
      <w:r w:rsidR="17E724BB">
        <w:t>made</w:t>
      </w:r>
      <w:r w:rsidR="0096150A">
        <w:t xml:space="preserve"> common in TN-</w:t>
      </w:r>
      <w:r w:rsidR="6448FD0F">
        <w:t>NTN,</w:t>
      </w:r>
      <w:r w:rsidR="0096150A">
        <w:t xml:space="preserve"> and which functionalities will be NTN specific in 6GR</w:t>
      </w:r>
      <w:r w:rsidR="00DA6CDB">
        <w:t>.</w:t>
      </w:r>
    </w:p>
    <w:p w14:paraId="0302862A" w14:textId="32F0EB92" w:rsidR="00C339B0" w:rsidRDefault="00C339B0" w:rsidP="00671178">
      <w:pPr>
        <w:pStyle w:val="Heading1"/>
        <w:rPr>
          <w:lang w:val="en-US"/>
        </w:rPr>
      </w:pPr>
      <w:r w:rsidRPr="34BC0873">
        <w:rPr>
          <w:lang w:val="en-US"/>
        </w:rPr>
        <w:lastRenderedPageBreak/>
        <w:t>Discussion</w:t>
      </w:r>
    </w:p>
    <w:p w14:paraId="76828040" w14:textId="437BC58E" w:rsidR="581A7377" w:rsidRDefault="581A7377" w:rsidP="0018331B">
      <w:pPr>
        <w:pStyle w:val="Heading2"/>
      </w:pPr>
      <w:r w:rsidRPr="34BC0873">
        <w:t xml:space="preserve">NTN specific system information </w:t>
      </w:r>
    </w:p>
    <w:p w14:paraId="05C575C7" w14:textId="69723A35" w:rsidR="00546998" w:rsidRDefault="00546998" w:rsidP="0018331B">
      <w:pPr>
        <w:pStyle w:val="maintext"/>
        <w:ind w:firstLine="480"/>
      </w:pPr>
      <w:r w:rsidRPr="03D06816">
        <w:rPr>
          <w:lang w:val="en-US"/>
        </w:rPr>
        <w:t>In NR Release 17 and onwards, SIB19 and SIB25 provide NTN-specific assistance information to support access, measurements, and mobility across satellite and terrestrial networks</w:t>
      </w:r>
      <w:r w:rsidR="007C21E1" w:rsidRPr="03D06816">
        <w:rPr>
          <w:lang w:val="en-US"/>
        </w:rPr>
        <w:t xml:space="preserve"> [1,2]</w:t>
      </w:r>
      <w:r w:rsidRPr="03D06816">
        <w:rPr>
          <w:lang w:val="en-US"/>
        </w:rPr>
        <w:t xml:space="preserve">. SIB19 contains satellite assistance information for NTN access. It includes parameters such as </w:t>
      </w:r>
      <w:r w:rsidRPr="03D06816">
        <w:rPr>
          <w:i/>
          <w:iCs/>
          <w:lang w:val="en-US"/>
        </w:rPr>
        <w:t>ntn-Config</w:t>
      </w:r>
      <w:r w:rsidRPr="03D06816">
        <w:rPr>
          <w:lang w:val="en-US"/>
        </w:rPr>
        <w:t xml:space="preserve">, which carries satellite ephemeris and timing data, </w:t>
      </w:r>
      <w:r w:rsidRPr="03D06816">
        <w:rPr>
          <w:i/>
          <w:iCs/>
          <w:lang w:val="en-US"/>
        </w:rPr>
        <w:t>referenceLocation</w:t>
      </w:r>
      <w:r w:rsidRPr="03D06816">
        <w:rPr>
          <w:lang w:val="en-US"/>
        </w:rPr>
        <w:t xml:space="preserve">, </w:t>
      </w:r>
      <w:r w:rsidRPr="03D06816">
        <w:rPr>
          <w:i/>
          <w:iCs/>
          <w:lang w:val="en-US"/>
        </w:rPr>
        <w:t>t-Service</w:t>
      </w:r>
      <w:r w:rsidRPr="03D06816">
        <w:rPr>
          <w:lang w:val="en-US"/>
        </w:rPr>
        <w:t xml:space="preserve">, and </w:t>
      </w:r>
      <w:r w:rsidRPr="03D06816">
        <w:rPr>
          <w:i/>
          <w:iCs/>
          <w:lang w:val="en-US"/>
        </w:rPr>
        <w:t>distanceThresh</w:t>
      </w:r>
      <w:r w:rsidRPr="03D06816">
        <w:rPr>
          <w:lang w:val="en-US"/>
        </w:rPr>
        <w:t xml:space="preserve"> for location-based measurement initiation, as well as </w:t>
      </w:r>
      <w:r w:rsidRPr="03D06816">
        <w:rPr>
          <w:i/>
          <w:iCs/>
          <w:lang w:val="en-US"/>
        </w:rPr>
        <w:t>ntn-NeighCellConfigList</w:t>
      </w:r>
      <w:r w:rsidRPr="03D06816">
        <w:rPr>
          <w:lang w:val="en-US"/>
        </w:rPr>
        <w:t xml:space="preserve"> describing neighboring satellite cells</w:t>
      </w:r>
      <w:r w:rsidR="007C21E1" w:rsidRPr="03D06816">
        <w:rPr>
          <w:lang w:val="en-US"/>
        </w:rPr>
        <w:t xml:space="preserve"> [4]</w:t>
      </w:r>
      <w:r w:rsidRPr="03D06816">
        <w:rPr>
          <w:lang w:val="en-US"/>
        </w:rPr>
        <w:t xml:space="preserve">. Later releases extend SIB19 with fields like </w:t>
      </w:r>
      <w:r w:rsidRPr="03D06816">
        <w:rPr>
          <w:i/>
          <w:iCs/>
          <w:lang w:val="en-US"/>
        </w:rPr>
        <w:t>movingReferenceLocation</w:t>
      </w:r>
      <w:r w:rsidRPr="03D06816">
        <w:rPr>
          <w:lang w:val="en-US"/>
        </w:rPr>
        <w:t xml:space="preserve">, </w:t>
      </w:r>
      <w:r w:rsidRPr="03D06816">
        <w:rPr>
          <w:i/>
          <w:iCs/>
          <w:lang w:val="en-US"/>
        </w:rPr>
        <w:t>ntn-CovEnh</w:t>
      </w:r>
      <w:r w:rsidRPr="03D06816">
        <w:rPr>
          <w:lang w:val="en-US"/>
        </w:rPr>
        <w:t xml:space="preserve">, and </w:t>
      </w:r>
      <w:r w:rsidRPr="03D06816">
        <w:rPr>
          <w:i/>
          <w:iCs/>
          <w:lang w:val="en-US"/>
        </w:rPr>
        <w:t>satSwitchWithReSync</w:t>
      </w:r>
      <w:r w:rsidRPr="03D06816">
        <w:rPr>
          <w:lang w:val="en-US"/>
        </w:rPr>
        <w:t xml:space="preserve"> to support coverage enhancement and satellite switch procedures. </w:t>
      </w:r>
    </w:p>
    <w:p w14:paraId="1EFB603A" w14:textId="735F4BD2" w:rsidR="007236FF" w:rsidRDefault="00546998" w:rsidP="0049429B">
      <w:pPr>
        <w:pStyle w:val="maintext"/>
        <w:ind w:firstLine="480"/>
      </w:pPr>
      <w:r w:rsidRPr="00546998">
        <w:t>SIB25, on the other hand, provides TN coverage assistance information to UEs located in an NTN cell. It enables the UE to perform terrestrial neighbor cell measurements efficiently by broadcasting parameters that describe nearby TN cells accessible from an NTN coverage area. Together, SIB19 and SIB25 form a complementary framework allowing UEs in NTN or hybrid environments to acquire synchronization, timing, and measurement assistance for both satellite and terrestrial systems, supporting seamless TN</w:t>
      </w:r>
      <w:r w:rsidR="00A975A4">
        <w:t>-</w:t>
      </w:r>
      <w:r w:rsidRPr="00546998">
        <w:t>NTN integration.</w:t>
      </w:r>
    </w:p>
    <w:p w14:paraId="73FA313D" w14:textId="0BE83EE7" w:rsidR="0049429B" w:rsidRDefault="0049429B" w:rsidP="0049429B">
      <w:pPr>
        <w:pStyle w:val="maintext"/>
        <w:ind w:firstLine="480"/>
      </w:pPr>
      <w:r w:rsidRPr="0049429B">
        <w:t>Given the complementary roles of SIB19 and SIB25 in current NTN operation, it is observed that both messages collectively serve NTN-related purposes such as satellite access assistance and TN</w:t>
      </w:r>
      <w:r>
        <w:t>-</w:t>
      </w:r>
      <w:r w:rsidRPr="0049429B">
        <w:t>NTN mobility support. Specifically, SIB19 provides NTN-related configuration and assistance information and may be broadcast by both TN and NTN cells, while SIB25 is limited to NTN cells and provides TN coverage information to assist UEs in determining whether TN frequency measurements are necessary within an NTN coverage area. This dual-message structure serve complementary NTN-related purposes, supporting satellite access assistance and TN–NTN mobility functions</w:t>
      </w:r>
      <w:r>
        <w:t>.</w:t>
      </w:r>
    </w:p>
    <w:p w14:paraId="0C18AEC3" w14:textId="753D5D13" w:rsidR="0049429B" w:rsidRPr="0049429B" w:rsidRDefault="0049429B" w:rsidP="00720B34">
      <w:pPr>
        <w:pStyle w:val="Observation"/>
      </w:pPr>
      <w:r>
        <w:t xml:space="preserve"> </w:t>
      </w:r>
      <w:r w:rsidRPr="0049429B">
        <w:t>Both SIB19 and SIB25 serve complementary NTN-related purposes, supporting satellite access assistance and TN</w:t>
      </w:r>
      <w:r w:rsidR="00A975A4">
        <w:t>-</w:t>
      </w:r>
      <w:r w:rsidRPr="0049429B">
        <w:t>NTN mobility functions.</w:t>
      </w:r>
    </w:p>
    <w:p w14:paraId="1702B935" w14:textId="6A3A3E19" w:rsidR="00F82DC2" w:rsidRPr="00F82DC2" w:rsidRDefault="5C482728" w:rsidP="00F82DC2">
      <w:pPr>
        <w:pStyle w:val="maintext"/>
        <w:ind w:firstLine="480"/>
      </w:pPr>
      <w:r w:rsidRPr="03D06816">
        <w:rPr>
          <w:lang w:val="en-US"/>
        </w:rPr>
        <w:t>Building on the complementary functions of SIB19 and SIB25, it may be beneficial for RAN2 to consider a unified approach to streamline system information design and reduce signaling complexity. In particular, the information elements currently defined in SIB25, used exclusively by NTN cells to indicate TN coverage availability and assist UEs in determining the need for TN frequency measurements, could be integrated into SIB19 as optional fields applicable when broadcast by an TN cell. Such consolidation would enable a single, adaptable SIB structure capable of conveying both NTN-specific and TN-assistive information. This approach could simplify UE implementation, improve system information management, and maintain the existing power-saving advantages achieved through conditional TN frequency measurements.</w:t>
      </w:r>
    </w:p>
    <w:p w14:paraId="291A13BB" w14:textId="1942A99B" w:rsidR="007236FF" w:rsidRPr="00DF46B1" w:rsidRDefault="5C482728" w:rsidP="00720B34">
      <w:pPr>
        <w:pStyle w:val="Proposal"/>
      </w:pPr>
      <w:r w:rsidRPr="03D06816">
        <w:rPr>
          <w:lang w:val="en-US"/>
        </w:rPr>
        <w:t xml:space="preserve"> RAN2 shou</w:t>
      </w:r>
      <w:r w:rsidR="101BB989" w:rsidRPr="03D06816">
        <w:rPr>
          <w:lang w:val="en-US"/>
        </w:rPr>
        <w:t>l</w:t>
      </w:r>
      <w:r w:rsidRPr="03D06816">
        <w:rPr>
          <w:lang w:val="en-US"/>
        </w:rPr>
        <w:t>d study integrating the SIB25 information elements into SIB19 as optional fields when broadcast by an TN cell, to support a unified system information design for TN</w:t>
      </w:r>
      <w:r w:rsidR="00A975A4" w:rsidRPr="03D06816">
        <w:rPr>
          <w:lang w:val="en-US"/>
        </w:rPr>
        <w:t>-</w:t>
      </w:r>
      <w:r w:rsidRPr="03D06816">
        <w:rPr>
          <w:lang w:val="en-US"/>
        </w:rPr>
        <w:t>NTN operation.</w:t>
      </w:r>
    </w:p>
    <w:p w14:paraId="2471B8A5" w14:textId="0D8820F0" w:rsidR="4971DE25" w:rsidRDefault="70AC0C61" w:rsidP="73888AFF">
      <w:pPr>
        <w:pStyle w:val="Heading2"/>
      </w:pPr>
      <w:r w:rsidRPr="7BBFE076">
        <w:lastRenderedPageBreak/>
        <w:t xml:space="preserve">HARQ </w:t>
      </w:r>
      <w:r w:rsidR="368E8703" w:rsidRPr="7BBFE076">
        <w:t>design</w:t>
      </w:r>
      <w:r w:rsidR="624B640A" w:rsidRPr="7BBFE076">
        <w:t xml:space="preserve"> for TN and NTN</w:t>
      </w:r>
    </w:p>
    <w:p w14:paraId="7EBA99F3" w14:textId="63FF9828" w:rsidR="4C8C3C1E" w:rsidRDefault="4C8C3C1E" w:rsidP="00E927DE">
      <w:pPr>
        <w:pStyle w:val="maintext"/>
        <w:ind w:firstLine="480"/>
      </w:pPr>
      <w:r w:rsidRPr="73888AFF">
        <w:t xml:space="preserve">In </w:t>
      </w:r>
      <w:r w:rsidR="00A975A4">
        <w:t>NTN</w:t>
      </w:r>
      <w:r w:rsidRPr="73888AFF">
        <w:t xml:space="preserve"> deployment scenarios, a large round-trip time (RTT) is introduced due to the significant propagation distance between the user terminal and the satellite. The RTT varies based on the satellite constellation type (LEO, MEO, GEO) and the satellite payload architecture (transparent or regenerative), both of which influence the end-to-end signal path and overall latency.</w:t>
      </w:r>
    </w:p>
    <w:p w14:paraId="4776F074" w14:textId="66345375" w:rsidR="2C898A38" w:rsidRPr="000F5A01" w:rsidRDefault="2C898A38" w:rsidP="00E927DE">
      <w:pPr>
        <w:pStyle w:val="maintext"/>
        <w:ind w:firstLine="480"/>
        <w:rPr>
          <w:color w:val="000000" w:themeColor="text1"/>
          <w:lang w:val="en-GB"/>
        </w:rPr>
      </w:pPr>
      <w:r w:rsidRPr="000F5A01">
        <w:rPr>
          <w:rFonts w:ascii="Calibri" w:eastAsia="Calibri" w:hAnsi="Calibri" w:cs="Calibri"/>
          <w:color w:val="000000" w:themeColor="text1"/>
        </w:rPr>
        <w:t>Below table</w:t>
      </w:r>
      <w:r w:rsidR="03A86326" w:rsidRPr="000F5A01">
        <w:rPr>
          <w:color w:val="000000" w:themeColor="text1"/>
          <w:lang w:val="en-GB"/>
        </w:rPr>
        <w:t xml:space="preserve"> </w:t>
      </w:r>
      <w:r w:rsidR="000F5A01" w:rsidRPr="000F5A01">
        <w:rPr>
          <w:color w:val="000000" w:themeColor="text1"/>
          <w:lang w:val="en-GB"/>
        </w:rPr>
        <w:t>“</w:t>
      </w:r>
      <w:r w:rsidR="03A86326" w:rsidRPr="000F5A01">
        <w:rPr>
          <w:color w:val="000000" w:themeColor="text1"/>
          <w:lang w:val="en-GB"/>
        </w:rPr>
        <w:t>NTN scenarios versus delay constraints</w:t>
      </w:r>
      <w:r w:rsidR="000F5A01" w:rsidRPr="000F5A01">
        <w:rPr>
          <w:color w:val="000000" w:themeColor="text1"/>
          <w:lang w:val="en-GB"/>
        </w:rPr>
        <w:t>” [2]</w:t>
      </w:r>
      <w:r w:rsidR="03A86326" w:rsidRPr="000F5A01">
        <w:rPr>
          <w:color w:val="000000" w:themeColor="text1"/>
          <w:lang w:val="en-GB"/>
        </w:rPr>
        <w:t xml:space="preserve"> provide detailed about RTT based on </w:t>
      </w:r>
      <w:r w:rsidR="2B65BFEF" w:rsidRPr="000F5A01">
        <w:rPr>
          <w:color w:val="000000" w:themeColor="text1"/>
          <w:lang w:val="en-GB"/>
        </w:rPr>
        <w:t>type of satellite constellation and satellite payload type.</w:t>
      </w:r>
    </w:p>
    <w:tbl>
      <w:tblPr>
        <w:tblW w:w="0" w:type="auto"/>
        <w:tblLayout w:type="fixed"/>
        <w:tblLook w:val="04A0" w:firstRow="1" w:lastRow="0" w:firstColumn="1" w:lastColumn="0" w:noHBand="0" w:noVBand="1"/>
      </w:tblPr>
      <w:tblGrid>
        <w:gridCol w:w="1950"/>
        <w:gridCol w:w="1785"/>
        <w:gridCol w:w="1680"/>
        <w:gridCol w:w="844"/>
        <w:gridCol w:w="1125"/>
        <w:gridCol w:w="1050"/>
        <w:gridCol w:w="1221"/>
      </w:tblGrid>
      <w:tr w:rsidR="73888AFF" w14:paraId="31587F56"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tcPr>
          <w:p w14:paraId="1B81F4FD" w14:textId="31B248E1" w:rsidR="73888AFF" w:rsidRDefault="73888AFF" w:rsidP="73888AFF">
            <w:pPr>
              <w:spacing w:after="0"/>
              <w:jc w:val="center"/>
            </w:pPr>
            <w:r w:rsidRPr="73888AFF">
              <w:rPr>
                <w:rFonts w:ascii="Arial" w:eastAsia="Arial" w:hAnsi="Arial" w:cs="Arial"/>
                <w:sz w:val="18"/>
                <w:szCs w:val="18"/>
                <w:lang w:val="en-GB"/>
              </w:rPr>
              <w:t>NTN scenarios</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tcPr>
          <w:p w14:paraId="3C949C87" w14:textId="1C04D908" w:rsidR="73888AFF" w:rsidRDefault="73888AFF" w:rsidP="73888AFF">
            <w:pPr>
              <w:spacing w:after="0"/>
              <w:jc w:val="center"/>
            </w:pPr>
            <w:r w:rsidRPr="73888AFF">
              <w:rPr>
                <w:rFonts w:ascii="Arial" w:eastAsia="Arial" w:hAnsi="Arial" w:cs="Arial"/>
                <w:sz w:val="18"/>
                <w:szCs w:val="18"/>
                <w:lang w:val="en-GB"/>
              </w:rPr>
              <w:t>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DBB1703" w14:textId="3225D94D" w:rsidR="73888AFF" w:rsidRDefault="73888AFF" w:rsidP="73888AFF">
            <w:pPr>
              <w:spacing w:after="0"/>
              <w:jc w:val="center"/>
            </w:pPr>
            <w:r w:rsidRPr="73888AFF">
              <w:rPr>
                <w:rFonts w:ascii="Arial" w:eastAsia="Arial" w:hAnsi="Arial" w:cs="Arial"/>
                <w:sz w:val="18"/>
                <w:szCs w:val="18"/>
                <w:lang w:val="en-GB"/>
              </w:rPr>
              <w:t>B</w:t>
            </w:r>
          </w:p>
        </w:tc>
        <w:tc>
          <w:tcPr>
            <w:tcW w:w="844" w:type="dxa"/>
            <w:tcBorders>
              <w:top w:val="single" w:sz="8" w:space="0" w:color="auto"/>
              <w:left w:val="single" w:sz="8" w:space="0" w:color="auto"/>
              <w:bottom w:val="single" w:sz="8" w:space="0" w:color="auto"/>
              <w:right w:val="single" w:sz="8" w:space="0" w:color="auto"/>
            </w:tcBorders>
            <w:tcMar>
              <w:left w:w="108" w:type="dxa"/>
              <w:right w:w="108" w:type="dxa"/>
            </w:tcMar>
          </w:tcPr>
          <w:p w14:paraId="4B1A79A2" w14:textId="671F9EF4" w:rsidR="73888AFF" w:rsidRDefault="73888AFF" w:rsidP="73888AFF">
            <w:pPr>
              <w:spacing w:after="0"/>
              <w:jc w:val="center"/>
            </w:pPr>
            <w:r w:rsidRPr="73888AFF">
              <w:rPr>
                <w:rFonts w:ascii="Arial" w:eastAsia="Arial" w:hAnsi="Arial" w:cs="Arial"/>
                <w:sz w:val="18"/>
                <w:szCs w:val="18"/>
                <w:lang w:val="en-GB"/>
              </w:rPr>
              <w:t>C1</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4214904" w14:textId="1E594412" w:rsidR="73888AFF" w:rsidRDefault="73888AFF" w:rsidP="73888AFF">
            <w:pPr>
              <w:spacing w:after="0"/>
              <w:jc w:val="center"/>
            </w:pPr>
            <w:r w:rsidRPr="73888AFF">
              <w:rPr>
                <w:rFonts w:ascii="Arial" w:eastAsia="Arial" w:hAnsi="Arial" w:cs="Arial"/>
                <w:sz w:val="18"/>
                <w:szCs w:val="18"/>
                <w:lang w:val="en-GB"/>
              </w:rPr>
              <w:t>C2</w:t>
            </w:r>
          </w:p>
        </w:tc>
        <w:tc>
          <w:tcPr>
            <w:tcW w:w="1050" w:type="dxa"/>
            <w:tcBorders>
              <w:top w:val="single" w:sz="8" w:space="0" w:color="auto"/>
              <w:left w:val="single" w:sz="8" w:space="0" w:color="auto"/>
              <w:bottom w:val="single" w:sz="8" w:space="0" w:color="auto"/>
              <w:right w:val="single" w:sz="8" w:space="0" w:color="auto"/>
            </w:tcBorders>
            <w:tcMar>
              <w:left w:w="108" w:type="dxa"/>
              <w:right w:w="108" w:type="dxa"/>
            </w:tcMar>
          </w:tcPr>
          <w:p w14:paraId="59305C20" w14:textId="4F5162AD" w:rsidR="73888AFF" w:rsidRDefault="73888AFF" w:rsidP="73888AFF">
            <w:pPr>
              <w:spacing w:after="0"/>
              <w:jc w:val="center"/>
            </w:pPr>
            <w:r w:rsidRPr="73888AFF">
              <w:rPr>
                <w:rFonts w:ascii="Arial" w:eastAsia="Arial" w:hAnsi="Arial" w:cs="Arial"/>
                <w:sz w:val="18"/>
                <w:szCs w:val="18"/>
                <w:lang w:val="en-GB"/>
              </w:rPr>
              <w:t>D1</w:t>
            </w:r>
          </w:p>
        </w:tc>
        <w:tc>
          <w:tcPr>
            <w:tcW w:w="1221" w:type="dxa"/>
            <w:tcBorders>
              <w:top w:val="single" w:sz="8" w:space="0" w:color="auto"/>
              <w:left w:val="single" w:sz="8" w:space="0" w:color="auto"/>
              <w:bottom w:val="single" w:sz="8" w:space="0" w:color="auto"/>
              <w:right w:val="single" w:sz="8" w:space="0" w:color="auto"/>
            </w:tcBorders>
            <w:tcMar>
              <w:left w:w="108" w:type="dxa"/>
              <w:right w:w="108" w:type="dxa"/>
            </w:tcMar>
          </w:tcPr>
          <w:p w14:paraId="0CE4E51C" w14:textId="4C2A11A4" w:rsidR="73888AFF" w:rsidRDefault="73888AFF" w:rsidP="73888AFF">
            <w:pPr>
              <w:spacing w:after="0"/>
              <w:jc w:val="center"/>
            </w:pPr>
            <w:r w:rsidRPr="73888AFF">
              <w:rPr>
                <w:rFonts w:ascii="Arial" w:eastAsia="Arial" w:hAnsi="Arial" w:cs="Arial"/>
                <w:sz w:val="18"/>
                <w:szCs w:val="18"/>
                <w:lang w:val="en-GB"/>
              </w:rPr>
              <w:t>D2</w:t>
            </w:r>
          </w:p>
        </w:tc>
      </w:tr>
      <w:tr w:rsidR="73888AFF" w14:paraId="1D742CDF"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tcPr>
          <w:p w14:paraId="776B5D9C" w14:textId="1878333E" w:rsidR="73888AFF" w:rsidRDefault="73888AFF" w:rsidP="73888AFF">
            <w:pPr>
              <w:spacing w:after="0"/>
              <w:jc w:val="center"/>
            </w:pPr>
            <w:r w:rsidRPr="73888AFF">
              <w:rPr>
                <w:rFonts w:ascii="Arial" w:eastAsia="Arial" w:hAnsi="Arial" w:cs="Arial"/>
                <w:sz w:val="18"/>
                <w:szCs w:val="18"/>
                <w:lang w:val="en-GB"/>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tcPr>
          <w:p w14:paraId="1676726D" w14:textId="160A1F9F" w:rsidR="73888AFF" w:rsidRDefault="73888AFF" w:rsidP="73888AFF">
            <w:pPr>
              <w:spacing w:after="0"/>
              <w:jc w:val="center"/>
            </w:pPr>
            <w:r w:rsidRPr="73888AFF">
              <w:rPr>
                <w:rFonts w:ascii="Arial" w:eastAsia="Arial" w:hAnsi="Arial" w:cs="Arial"/>
                <w:i/>
                <w:iCs/>
                <w:sz w:val="18"/>
                <w:szCs w:val="18"/>
                <w:lang w:val="en-GB"/>
              </w:rPr>
              <w:t>GEO transparent payload</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B88D3AD" w14:textId="4A8B8128" w:rsidR="73888AFF" w:rsidRDefault="73888AFF" w:rsidP="73888AFF">
            <w:pPr>
              <w:spacing w:after="0"/>
              <w:jc w:val="center"/>
            </w:pPr>
            <w:r w:rsidRPr="73888AFF">
              <w:rPr>
                <w:rFonts w:ascii="Arial" w:eastAsia="Arial" w:hAnsi="Arial" w:cs="Arial"/>
                <w:i/>
                <w:iCs/>
                <w:sz w:val="18"/>
                <w:szCs w:val="18"/>
                <w:lang w:val="en-GB"/>
              </w:rPr>
              <w:t>GEO regenerative payload</w:t>
            </w:r>
          </w:p>
        </w:tc>
        <w:tc>
          <w:tcPr>
            <w:tcW w:w="19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7B81114" w14:textId="0F292F41" w:rsidR="73888AFF" w:rsidRDefault="73888AFF" w:rsidP="73888AFF">
            <w:pPr>
              <w:spacing w:after="0"/>
              <w:jc w:val="center"/>
            </w:pPr>
            <w:r w:rsidRPr="73888AFF">
              <w:rPr>
                <w:rFonts w:ascii="Arial" w:eastAsia="Arial" w:hAnsi="Arial" w:cs="Arial"/>
                <w:i/>
                <w:iCs/>
                <w:sz w:val="18"/>
                <w:szCs w:val="18"/>
                <w:lang w:val="en-GB"/>
              </w:rPr>
              <w:t>LEO transparent payload</w:t>
            </w:r>
          </w:p>
        </w:tc>
        <w:tc>
          <w:tcPr>
            <w:tcW w:w="2271" w:type="dxa"/>
            <w:gridSpan w:val="2"/>
            <w:tcBorders>
              <w:top w:val="single" w:sz="8" w:space="0" w:color="auto"/>
              <w:left w:val="nil"/>
              <w:bottom w:val="single" w:sz="8" w:space="0" w:color="auto"/>
              <w:right w:val="single" w:sz="8" w:space="0" w:color="auto"/>
            </w:tcBorders>
            <w:tcMar>
              <w:left w:w="108" w:type="dxa"/>
              <w:right w:w="108" w:type="dxa"/>
            </w:tcMar>
          </w:tcPr>
          <w:p w14:paraId="5E77408D" w14:textId="4616D55C" w:rsidR="73888AFF" w:rsidRDefault="73888AFF" w:rsidP="73888AFF">
            <w:pPr>
              <w:spacing w:after="0"/>
              <w:jc w:val="center"/>
            </w:pPr>
            <w:r w:rsidRPr="73888AFF">
              <w:rPr>
                <w:rFonts w:ascii="Arial" w:eastAsia="Arial" w:hAnsi="Arial" w:cs="Arial"/>
                <w:i/>
                <w:iCs/>
                <w:sz w:val="18"/>
                <w:szCs w:val="18"/>
                <w:lang w:val="en-GB"/>
              </w:rPr>
              <w:t>LEO regenerative payload</w:t>
            </w:r>
          </w:p>
        </w:tc>
      </w:tr>
      <w:tr w:rsidR="73888AFF" w14:paraId="4CA8A4C1"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28C963" w14:textId="58674758" w:rsidR="73888AFF" w:rsidRDefault="73888AFF" w:rsidP="73888AFF">
            <w:pPr>
              <w:spacing w:after="0"/>
              <w:jc w:val="center"/>
            </w:pPr>
            <w:r w:rsidRPr="73888AFF">
              <w:rPr>
                <w:rFonts w:ascii="Arial" w:eastAsia="Arial" w:hAnsi="Arial" w:cs="Arial"/>
                <w:sz w:val="18"/>
                <w:szCs w:val="18"/>
                <w:lang w:val="en-GB"/>
              </w:rPr>
              <w:t>Satellite altitude</w:t>
            </w:r>
          </w:p>
        </w:tc>
        <w:tc>
          <w:tcPr>
            <w:tcW w:w="346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C89568" w14:textId="3B84EFAB" w:rsidR="73888AFF" w:rsidRDefault="73888AFF" w:rsidP="73888AFF">
            <w:pPr>
              <w:spacing w:after="0"/>
              <w:jc w:val="center"/>
            </w:pPr>
            <w:r w:rsidRPr="73888AFF">
              <w:rPr>
                <w:rFonts w:ascii="Arial" w:eastAsia="Arial" w:hAnsi="Arial" w:cs="Arial"/>
                <w:sz w:val="18"/>
                <w:szCs w:val="18"/>
                <w:lang w:val="en-GB"/>
              </w:rPr>
              <w:t>35786 km</w:t>
            </w:r>
          </w:p>
        </w:tc>
        <w:tc>
          <w:tcPr>
            <w:tcW w:w="4240"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660C4513" w14:textId="5BE7E277" w:rsidR="73888AFF" w:rsidRDefault="73888AFF" w:rsidP="73888AFF">
            <w:pPr>
              <w:spacing w:after="0"/>
              <w:jc w:val="center"/>
            </w:pPr>
            <w:r w:rsidRPr="73888AFF">
              <w:rPr>
                <w:rFonts w:ascii="Arial" w:eastAsia="Arial" w:hAnsi="Arial" w:cs="Arial"/>
                <w:sz w:val="18"/>
                <w:szCs w:val="18"/>
                <w:lang w:val="en-GB"/>
              </w:rPr>
              <w:t>600 km</w:t>
            </w:r>
          </w:p>
        </w:tc>
      </w:tr>
      <w:tr w:rsidR="73888AFF" w14:paraId="5769370D"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DCB675" w14:textId="2CB50E91" w:rsidR="73888AFF" w:rsidRDefault="73888AFF" w:rsidP="73888AFF">
            <w:pPr>
              <w:spacing w:after="0"/>
              <w:jc w:val="center"/>
            </w:pPr>
            <w:r w:rsidRPr="73888AFF">
              <w:rPr>
                <w:rFonts w:ascii="Arial" w:eastAsia="Arial" w:hAnsi="Arial" w:cs="Arial"/>
                <w:sz w:val="18"/>
                <w:szCs w:val="18"/>
                <w:lang w:val="en-GB"/>
              </w:rPr>
              <w:t>Relative speed of Satellite with respect to earth</w:t>
            </w:r>
          </w:p>
        </w:tc>
        <w:tc>
          <w:tcPr>
            <w:tcW w:w="346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36446" w14:textId="2660F9F6" w:rsidR="73888AFF" w:rsidRDefault="73888AFF" w:rsidP="73888AFF">
            <w:pPr>
              <w:spacing w:after="0"/>
              <w:jc w:val="center"/>
            </w:pPr>
            <w:r w:rsidRPr="73888AFF">
              <w:rPr>
                <w:rFonts w:ascii="Arial" w:eastAsia="Arial" w:hAnsi="Arial" w:cs="Arial"/>
                <w:sz w:val="18"/>
                <w:szCs w:val="18"/>
                <w:lang w:val="en-GB"/>
              </w:rPr>
              <w:t>negligible</w:t>
            </w:r>
          </w:p>
        </w:tc>
        <w:tc>
          <w:tcPr>
            <w:tcW w:w="4240"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27838ED7" w14:textId="08A36756" w:rsidR="73888AFF" w:rsidRDefault="73888AFF" w:rsidP="73888AFF">
            <w:pPr>
              <w:spacing w:after="0"/>
              <w:jc w:val="center"/>
            </w:pPr>
            <w:r w:rsidRPr="73888AFF">
              <w:rPr>
                <w:rFonts w:ascii="Arial" w:eastAsia="Arial" w:hAnsi="Arial" w:cs="Arial"/>
                <w:sz w:val="18"/>
                <w:szCs w:val="18"/>
                <w:lang w:val="en-GB"/>
              </w:rPr>
              <w:t>7.56 km per second</w:t>
            </w:r>
          </w:p>
        </w:tc>
      </w:tr>
      <w:tr w:rsidR="73888AFF" w14:paraId="02E7E033"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CC31DA" w14:textId="30FD8387" w:rsidR="73888AFF" w:rsidRDefault="73888AFF" w:rsidP="73888AFF">
            <w:pPr>
              <w:spacing w:after="0"/>
              <w:jc w:val="center"/>
            </w:pPr>
            <w:r w:rsidRPr="73888AFF">
              <w:rPr>
                <w:rFonts w:ascii="Arial" w:eastAsia="Arial" w:hAnsi="Arial" w:cs="Arial"/>
                <w:sz w:val="18"/>
                <w:szCs w:val="18"/>
                <w:lang w:val="en-GB"/>
              </w:rPr>
              <w:t>Min elevation for both feeder and service links</w:t>
            </w:r>
          </w:p>
        </w:tc>
        <w:tc>
          <w:tcPr>
            <w:tcW w:w="7705" w:type="dxa"/>
            <w:gridSpan w:val="6"/>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754999" w14:textId="4ECDB852" w:rsidR="73888AFF" w:rsidRDefault="73888AFF" w:rsidP="73888AFF">
            <w:pPr>
              <w:spacing w:after="0"/>
              <w:jc w:val="center"/>
            </w:pPr>
            <w:r w:rsidRPr="73888AFF">
              <w:rPr>
                <w:rFonts w:ascii="Arial" w:eastAsia="Arial" w:hAnsi="Arial" w:cs="Arial"/>
                <w:sz w:val="18"/>
                <w:szCs w:val="18"/>
                <w:lang w:val="en-GB"/>
              </w:rPr>
              <w:t>10° for service link and 10° for feeder link</w:t>
            </w:r>
          </w:p>
        </w:tc>
      </w:tr>
      <w:tr w:rsidR="73888AFF" w14:paraId="44E55623"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17AC22" w14:textId="3707CE75" w:rsidR="73888AFF" w:rsidRDefault="73888AFF" w:rsidP="73888AFF">
            <w:pPr>
              <w:spacing w:after="0"/>
              <w:jc w:val="center"/>
            </w:pPr>
            <w:r w:rsidRPr="73888AFF">
              <w:rPr>
                <w:rFonts w:ascii="Arial" w:eastAsia="Arial" w:hAnsi="Arial" w:cs="Arial"/>
                <w:sz w:val="18"/>
                <w:szCs w:val="18"/>
                <w:lang w:val="en-GB"/>
              </w:rPr>
              <w:t xml:space="preserve">Typical Min / Max NTN beam foot print diameter (note 1) </w:t>
            </w:r>
          </w:p>
        </w:tc>
        <w:tc>
          <w:tcPr>
            <w:tcW w:w="346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F3B185" w14:textId="27C30ED7" w:rsidR="73888AFF" w:rsidRDefault="73888AFF" w:rsidP="73888AFF">
            <w:pPr>
              <w:spacing w:after="0"/>
              <w:jc w:val="center"/>
            </w:pPr>
            <w:r w:rsidRPr="73888AFF">
              <w:rPr>
                <w:rFonts w:ascii="Arial" w:eastAsia="Arial" w:hAnsi="Arial" w:cs="Arial"/>
                <w:sz w:val="18"/>
                <w:szCs w:val="18"/>
                <w:lang w:val="en-GB"/>
              </w:rPr>
              <w:t>100 km / 3500 km</w:t>
            </w:r>
          </w:p>
        </w:tc>
        <w:tc>
          <w:tcPr>
            <w:tcW w:w="4240" w:type="dxa"/>
            <w:gridSpan w:val="4"/>
            <w:tcBorders>
              <w:top w:val="nil"/>
              <w:left w:val="nil"/>
              <w:bottom w:val="single" w:sz="8" w:space="0" w:color="auto"/>
              <w:right w:val="single" w:sz="8" w:space="0" w:color="auto"/>
            </w:tcBorders>
            <w:tcMar>
              <w:left w:w="108" w:type="dxa"/>
              <w:right w:w="108" w:type="dxa"/>
            </w:tcMar>
            <w:vAlign w:val="center"/>
          </w:tcPr>
          <w:p w14:paraId="13DAF201" w14:textId="03C09ACA" w:rsidR="73888AFF" w:rsidRDefault="73888AFF" w:rsidP="73888AFF">
            <w:pPr>
              <w:spacing w:after="0"/>
              <w:jc w:val="center"/>
            </w:pPr>
            <w:r w:rsidRPr="73888AFF">
              <w:rPr>
                <w:rFonts w:ascii="Arial" w:eastAsia="Arial" w:hAnsi="Arial" w:cs="Arial"/>
                <w:sz w:val="18"/>
                <w:szCs w:val="18"/>
                <w:lang w:val="en-GB"/>
              </w:rPr>
              <w:t>50 km / 1000 km</w:t>
            </w:r>
          </w:p>
        </w:tc>
      </w:tr>
      <w:tr w:rsidR="73888AFF" w14:paraId="51D26A2F"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C3ACC0" w14:textId="3D5014BA" w:rsidR="73888AFF" w:rsidRDefault="73888AFF" w:rsidP="73888AFF">
            <w:pPr>
              <w:spacing w:after="0"/>
              <w:jc w:val="center"/>
            </w:pPr>
            <w:r w:rsidRPr="73888AFF">
              <w:rPr>
                <w:rFonts w:ascii="Arial" w:eastAsia="Arial" w:hAnsi="Arial" w:cs="Arial"/>
                <w:sz w:val="18"/>
                <w:szCs w:val="18"/>
                <w:lang w:val="en-GB"/>
              </w:rPr>
              <w:t>Maximum propagation delay contribution to the Round Trip Delay on the radio interface between the gNB and the UE</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9FC90B" w14:textId="7F1959CB" w:rsidR="73888AFF" w:rsidRDefault="73888AFF" w:rsidP="73888AFF">
            <w:pPr>
              <w:spacing w:after="0"/>
              <w:jc w:val="center"/>
            </w:pPr>
            <w:r w:rsidRPr="73888AFF">
              <w:rPr>
                <w:rFonts w:ascii="Arial" w:eastAsia="Arial" w:hAnsi="Arial" w:cs="Arial"/>
                <w:sz w:val="18"/>
                <w:szCs w:val="18"/>
                <w:lang w:val="en-GB"/>
              </w:rPr>
              <w:t>541.46 ms (Worst case)</w:t>
            </w:r>
          </w:p>
        </w:tc>
        <w:tc>
          <w:tcPr>
            <w:tcW w:w="1680" w:type="dxa"/>
            <w:tcBorders>
              <w:top w:val="nil"/>
              <w:left w:val="single" w:sz="8" w:space="0" w:color="auto"/>
              <w:bottom w:val="single" w:sz="8" w:space="0" w:color="auto"/>
              <w:right w:val="single" w:sz="8" w:space="0" w:color="auto"/>
            </w:tcBorders>
            <w:tcMar>
              <w:left w:w="108" w:type="dxa"/>
              <w:right w:w="108" w:type="dxa"/>
            </w:tcMar>
            <w:vAlign w:val="center"/>
          </w:tcPr>
          <w:p w14:paraId="78DA3B2B" w14:textId="39603AFB" w:rsidR="73888AFF" w:rsidRDefault="73888AFF" w:rsidP="73888AFF">
            <w:pPr>
              <w:spacing w:after="0"/>
              <w:jc w:val="center"/>
            </w:pPr>
            <w:r w:rsidRPr="73888AFF">
              <w:rPr>
                <w:rFonts w:ascii="Arial" w:eastAsia="Arial" w:hAnsi="Arial" w:cs="Arial"/>
                <w:sz w:val="18"/>
                <w:szCs w:val="18"/>
                <w:lang w:val="en-GB"/>
              </w:rPr>
              <w:t>270.73 ms</w:t>
            </w:r>
          </w:p>
        </w:tc>
        <w:tc>
          <w:tcPr>
            <w:tcW w:w="1969"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1CC901" w14:textId="1300DFF3" w:rsidR="73888AFF" w:rsidRDefault="73888AFF" w:rsidP="73888AFF">
            <w:pPr>
              <w:spacing w:after="0"/>
              <w:jc w:val="center"/>
            </w:pPr>
            <w:r w:rsidRPr="73888AFF">
              <w:rPr>
                <w:rFonts w:ascii="Arial" w:eastAsia="Arial" w:hAnsi="Arial" w:cs="Arial"/>
                <w:sz w:val="18"/>
                <w:szCs w:val="18"/>
                <w:lang w:val="en-GB"/>
              </w:rPr>
              <w:t>25.77 ms</w:t>
            </w:r>
          </w:p>
        </w:tc>
        <w:tc>
          <w:tcPr>
            <w:tcW w:w="2271" w:type="dxa"/>
            <w:gridSpan w:val="2"/>
            <w:tcBorders>
              <w:top w:val="nil"/>
              <w:left w:val="nil"/>
              <w:bottom w:val="single" w:sz="8" w:space="0" w:color="auto"/>
              <w:right w:val="single" w:sz="8" w:space="0" w:color="auto"/>
            </w:tcBorders>
            <w:tcMar>
              <w:left w:w="108" w:type="dxa"/>
              <w:right w:w="108" w:type="dxa"/>
            </w:tcMar>
            <w:vAlign w:val="center"/>
          </w:tcPr>
          <w:p w14:paraId="2F9384BE" w14:textId="1DE0458F" w:rsidR="73888AFF" w:rsidRDefault="73888AFF" w:rsidP="73888AFF">
            <w:pPr>
              <w:spacing w:after="0"/>
              <w:jc w:val="center"/>
            </w:pPr>
            <w:r w:rsidRPr="73888AFF">
              <w:rPr>
                <w:rFonts w:ascii="Arial" w:eastAsia="Arial" w:hAnsi="Arial" w:cs="Arial"/>
                <w:sz w:val="18"/>
                <w:szCs w:val="18"/>
                <w:lang w:val="en-GB"/>
              </w:rPr>
              <w:t>12.89 ms</w:t>
            </w:r>
          </w:p>
        </w:tc>
      </w:tr>
      <w:tr w:rsidR="73888AFF" w14:paraId="5F10CF94"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053205" w14:textId="100949C4" w:rsidR="73888AFF" w:rsidRDefault="73888AFF" w:rsidP="73888AFF">
            <w:pPr>
              <w:spacing w:after="0"/>
              <w:jc w:val="center"/>
            </w:pPr>
            <w:r w:rsidRPr="73888AFF">
              <w:rPr>
                <w:rFonts w:ascii="Arial" w:eastAsia="Arial" w:hAnsi="Arial" w:cs="Arial"/>
                <w:sz w:val="18"/>
                <w:szCs w:val="18"/>
                <w:lang w:val="en-GB"/>
              </w:rPr>
              <w:t>Minimum propagation delay contribution to the Round Trip Delay on the radio interface between the gNB and the UE</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4A3C4A" w14:textId="521A8659" w:rsidR="73888AFF" w:rsidRDefault="73888AFF" w:rsidP="73888AFF">
            <w:pPr>
              <w:spacing w:after="0"/>
              <w:jc w:val="center"/>
            </w:pPr>
            <w:r w:rsidRPr="73888AFF">
              <w:rPr>
                <w:rFonts w:ascii="Arial" w:eastAsia="Arial" w:hAnsi="Arial" w:cs="Arial"/>
                <w:sz w:val="18"/>
                <w:szCs w:val="18"/>
                <w:lang w:val="en-GB"/>
              </w:rPr>
              <w:t>477.48 ms</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CA740B" w14:textId="0A93F46E" w:rsidR="73888AFF" w:rsidRDefault="73888AFF" w:rsidP="73888AFF">
            <w:pPr>
              <w:spacing w:after="0"/>
              <w:jc w:val="center"/>
            </w:pPr>
            <w:r w:rsidRPr="73888AFF">
              <w:rPr>
                <w:rFonts w:ascii="Arial" w:eastAsia="Arial" w:hAnsi="Arial" w:cs="Arial"/>
                <w:sz w:val="18"/>
                <w:szCs w:val="18"/>
                <w:lang w:val="en-GB"/>
              </w:rPr>
              <w:t>238.74 ms</w:t>
            </w:r>
          </w:p>
        </w:tc>
        <w:tc>
          <w:tcPr>
            <w:tcW w:w="1969"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339E36" w14:textId="09F73205" w:rsidR="73888AFF" w:rsidRDefault="73888AFF" w:rsidP="73888AFF">
            <w:pPr>
              <w:spacing w:after="0"/>
              <w:jc w:val="center"/>
            </w:pPr>
            <w:r w:rsidRPr="73888AFF">
              <w:rPr>
                <w:rFonts w:ascii="Arial" w:eastAsia="Arial" w:hAnsi="Arial" w:cs="Arial"/>
                <w:sz w:val="18"/>
                <w:szCs w:val="18"/>
                <w:lang w:val="en-GB"/>
              </w:rPr>
              <w:t>8 ms</w:t>
            </w:r>
          </w:p>
        </w:tc>
        <w:tc>
          <w:tcPr>
            <w:tcW w:w="2271" w:type="dxa"/>
            <w:gridSpan w:val="2"/>
            <w:tcBorders>
              <w:top w:val="single" w:sz="8" w:space="0" w:color="auto"/>
              <w:left w:val="nil"/>
              <w:bottom w:val="single" w:sz="8" w:space="0" w:color="auto"/>
              <w:right w:val="single" w:sz="8" w:space="0" w:color="auto"/>
            </w:tcBorders>
            <w:tcMar>
              <w:left w:w="108" w:type="dxa"/>
              <w:right w:w="108" w:type="dxa"/>
            </w:tcMar>
            <w:vAlign w:val="center"/>
          </w:tcPr>
          <w:p w14:paraId="49044ECB" w14:textId="3F088F32" w:rsidR="73888AFF" w:rsidRDefault="1481E998" w:rsidP="7BBFE076">
            <w:pPr>
              <w:spacing w:after="0"/>
              <w:jc w:val="center"/>
              <w:rPr>
                <w:rFonts w:ascii="Arial" w:eastAsia="Arial" w:hAnsi="Arial" w:cs="Arial"/>
                <w:sz w:val="18"/>
                <w:szCs w:val="18"/>
                <w:lang w:val="en-GB"/>
              </w:rPr>
            </w:pPr>
            <w:r w:rsidRPr="7BBFE076">
              <w:rPr>
                <w:rFonts w:ascii="Arial" w:eastAsia="Arial" w:hAnsi="Arial" w:cs="Arial"/>
                <w:sz w:val="18"/>
                <w:szCs w:val="18"/>
                <w:lang w:val="en-GB"/>
              </w:rPr>
              <w:t xml:space="preserve">4 </w:t>
            </w:r>
            <w:bookmarkStart w:id="3" w:name="_Int_FJTh7BaY"/>
            <w:r w:rsidRPr="7BBFE076">
              <w:rPr>
                <w:rFonts w:ascii="Arial" w:eastAsia="Arial" w:hAnsi="Arial" w:cs="Arial"/>
                <w:sz w:val="18"/>
                <w:szCs w:val="18"/>
                <w:lang w:val="en-GB"/>
              </w:rPr>
              <w:t>ms</w:t>
            </w:r>
            <w:bookmarkEnd w:id="3"/>
          </w:p>
        </w:tc>
      </w:tr>
      <w:tr w:rsidR="73888AFF" w14:paraId="229F4E59"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600D3C" w14:textId="3CB42066" w:rsidR="73888AFF" w:rsidRDefault="73888AFF" w:rsidP="73888AFF">
            <w:pPr>
              <w:spacing w:after="0"/>
              <w:jc w:val="center"/>
            </w:pPr>
            <w:r w:rsidRPr="73888AFF">
              <w:rPr>
                <w:rFonts w:ascii="Arial" w:eastAsia="Arial" w:hAnsi="Arial" w:cs="Arial"/>
                <w:sz w:val="18"/>
                <w:szCs w:val="18"/>
                <w:lang w:val="en-GB"/>
              </w:rPr>
              <w:t>Maximum Round Trip Delay variation as seen by the UE</w:t>
            </w:r>
          </w:p>
          <w:p w14:paraId="54A41B32" w14:textId="196B39EA" w:rsidR="73888AFF" w:rsidRDefault="73888AFF" w:rsidP="73888AFF">
            <w:pPr>
              <w:spacing w:after="0"/>
              <w:jc w:val="center"/>
            </w:pPr>
            <w:r w:rsidRPr="73888AFF">
              <w:rPr>
                <w:rFonts w:ascii="Arial" w:eastAsia="Arial" w:hAnsi="Arial" w:cs="Arial"/>
                <w:sz w:val="18"/>
                <w:szCs w:val="18"/>
                <w:lang w:val="en-GB"/>
              </w:rPr>
              <w:t>(note 2)</w:t>
            </w:r>
          </w:p>
        </w:tc>
        <w:tc>
          <w:tcPr>
            <w:tcW w:w="346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9A3E30" w14:textId="1DCFF34D" w:rsidR="73888AFF" w:rsidRDefault="73888AFF" w:rsidP="73888AFF">
            <w:pPr>
              <w:spacing w:after="0"/>
              <w:jc w:val="center"/>
            </w:pPr>
            <w:r w:rsidRPr="73888AFF">
              <w:rPr>
                <w:rFonts w:ascii="Arial" w:eastAsia="Arial" w:hAnsi="Arial" w:cs="Arial"/>
                <w:sz w:val="18"/>
                <w:szCs w:val="18"/>
                <w:lang w:val="en-GB"/>
              </w:rPr>
              <w:t>Negligible</w:t>
            </w:r>
          </w:p>
        </w:tc>
        <w:tc>
          <w:tcPr>
            <w:tcW w:w="1969" w:type="dxa"/>
            <w:gridSpan w:val="2"/>
            <w:tcBorders>
              <w:top w:val="single" w:sz="8" w:space="0" w:color="auto"/>
              <w:left w:val="nil"/>
              <w:bottom w:val="single" w:sz="8" w:space="0" w:color="auto"/>
              <w:right w:val="single" w:sz="8" w:space="0" w:color="auto"/>
            </w:tcBorders>
            <w:tcMar>
              <w:left w:w="108" w:type="dxa"/>
              <w:right w:w="108" w:type="dxa"/>
            </w:tcMar>
            <w:vAlign w:val="center"/>
          </w:tcPr>
          <w:p w14:paraId="2ABA18EF" w14:textId="4A67DC80" w:rsidR="73888AFF" w:rsidRDefault="73888AFF" w:rsidP="73888AFF">
            <w:pPr>
              <w:spacing w:after="0"/>
              <w:jc w:val="center"/>
            </w:pPr>
            <w:r w:rsidRPr="73888AFF">
              <w:rPr>
                <w:rFonts w:ascii="Arial" w:eastAsia="Arial" w:hAnsi="Arial" w:cs="Arial"/>
                <w:sz w:val="18"/>
                <w:szCs w:val="18"/>
                <w:lang w:val="en-GB"/>
              </w:rPr>
              <w:t>Up to +/- 93.0 µs/sec (Worst case)</w:t>
            </w:r>
          </w:p>
        </w:tc>
        <w:tc>
          <w:tcPr>
            <w:tcW w:w="2271" w:type="dxa"/>
            <w:gridSpan w:val="2"/>
            <w:tcBorders>
              <w:top w:val="single" w:sz="8" w:space="0" w:color="auto"/>
              <w:left w:val="nil"/>
              <w:bottom w:val="single" w:sz="8" w:space="0" w:color="auto"/>
              <w:right w:val="single" w:sz="8" w:space="0" w:color="auto"/>
            </w:tcBorders>
            <w:tcMar>
              <w:left w:w="108" w:type="dxa"/>
              <w:right w:w="108" w:type="dxa"/>
            </w:tcMar>
            <w:vAlign w:val="center"/>
          </w:tcPr>
          <w:p w14:paraId="6BB23719" w14:textId="2F4C61E5" w:rsidR="73888AFF" w:rsidRDefault="73888AFF" w:rsidP="73888AFF">
            <w:pPr>
              <w:spacing w:after="0"/>
              <w:jc w:val="center"/>
            </w:pPr>
            <w:r w:rsidRPr="73888AFF">
              <w:rPr>
                <w:rFonts w:ascii="Arial" w:eastAsia="Arial" w:hAnsi="Arial" w:cs="Arial"/>
                <w:sz w:val="18"/>
                <w:szCs w:val="18"/>
                <w:lang w:val="en-GB"/>
              </w:rPr>
              <w:t>Up to +/- 47.6 µs/sec</w:t>
            </w:r>
          </w:p>
        </w:tc>
      </w:tr>
      <w:tr w:rsidR="73888AFF" w14:paraId="29C603A9" w14:textId="77777777" w:rsidTr="7BBFE076">
        <w:trPr>
          <w:trHeight w:val="300"/>
        </w:trPr>
        <w:tc>
          <w:tcPr>
            <w:tcW w:w="9655" w:type="dxa"/>
            <w:gridSpan w:val="7"/>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2D88C5" w14:textId="0D1E8222" w:rsidR="73888AFF" w:rsidRDefault="73888AFF" w:rsidP="73888AFF">
            <w:pPr>
              <w:spacing w:after="0"/>
              <w:ind w:left="851" w:hanging="851"/>
            </w:pPr>
            <w:r w:rsidRPr="73888AFF">
              <w:rPr>
                <w:rFonts w:ascii="Arial" w:eastAsia="Arial" w:hAnsi="Arial" w:cs="Arial"/>
                <w:sz w:val="18"/>
                <w:szCs w:val="18"/>
                <w:lang w:val="en-GB"/>
              </w:rPr>
              <w:t>NOTE 1:The beam foot print diameter are indicative. The diameter depends on the orbit, earth latitude, antenna design, and radio resource management strategy in a given system.</w:t>
            </w:r>
          </w:p>
          <w:p w14:paraId="614C5BF2" w14:textId="59375DB4" w:rsidR="73888AFF" w:rsidRDefault="73888AFF" w:rsidP="73888AFF">
            <w:pPr>
              <w:spacing w:after="0"/>
              <w:ind w:left="851" w:hanging="851"/>
            </w:pPr>
            <w:r w:rsidRPr="73888AFF">
              <w:rPr>
                <w:rFonts w:ascii="Arial" w:eastAsia="Arial" w:hAnsi="Arial" w:cs="Arial"/>
                <w:sz w:val="18"/>
                <w:szCs w:val="18"/>
                <w:lang w:val="en-GB"/>
              </w:rPr>
              <w:t>NOTE 2:The delay variation measures how fast the round trip delay (function of UE-satellite-NTN gateway distance) varies over time. The worst case is when the satellite moves towards/away from the UE at 10⁰ elevation angle, assuming the UE speed is 1200 km/h. It is expressed in µs/s and is negligible for GEO scenario.</w:t>
            </w:r>
          </w:p>
          <w:p w14:paraId="497FE0FC" w14:textId="1A1A4B91" w:rsidR="73888AFF" w:rsidRDefault="73888AFF" w:rsidP="73888AFF">
            <w:pPr>
              <w:spacing w:after="0"/>
              <w:ind w:left="851" w:hanging="851"/>
            </w:pPr>
            <w:r w:rsidRPr="73888AFF">
              <w:rPr>
                <w:rFonts w:ascii="Arial" w:eastAsia="Arial" w:hAnsi="Arial" w:cs="Arial"/>
                <w:sz w:val="18"/>
                <w:szCs w:val="18"/>
                <w:lang w:val="en-GB"/>
              </w:rPr>
              <w:t>NOTE 3:Void</w:t>
            </w:r>
          </w:p>
          <w:p w14:paraId="4BFB0DE6" w14:textId="19174B39" w:rsidR="73888AFF" w:rsidRDefault="73888AFF" w:rsidP="73888AFF">
            <w:pPr>
              <w:spacing w:after="0"/>
              <w:ind w:left="851" w:hanging="851"/>
            </w:pPr>
            <w:r w:rsidRPr="73888AFF">
              <w:rPr>
                <w:rFonts w:ascii="Arial" w:eastAsia="Arial" w:hAnsi="Arial" w:cs="Arial"/>
                <w:sz w:val="18"/>
                <w:szCs w:val="18"/>
                <w:lang w:val="en-GB"/>
              </w:rPr>
              <w:t>NOTE 4:Speed of light used for delay calculation is 299792458 m/s.</w:t>
            </w:r>
          </w:p>
        </w:tc>
      </w:tr>
    </w:tbl>
    <w:p w14:paraId="5707F928" w14:textId="1C933821" w:rsidR="73888AFF" w:rsidRDefault="73888AFF" w:rsidP="73888AFF">
      <w:pPr>
        <w:rPr>
          <w:rFonts w:eastAsiaTheme="minorEastAsia"/>
          <w:lang w:val="en-GB"/>
        </w:rPr>
      </w:pPr>
    </w:p>
    <w:p w14:paraId="003C6AD1" w14:textId="27C18C5C" w:rsidR="38E27684" w:rsidRDefault="38E27684" w:rsidP="00E927DE">
      <w:pPr>
        <w:pStyle w:val="maintext"/>
        <w:ind w:firstLine="480"/>
      </w:pPr>
      <w:r w:rsidRPr="03D06816">
        <w:rPr>
          <w:lang w:val="en-US"/>
        </w:rPr>
        <w:t xml:space="preserve">As mentioned in </w:t>
      </w:r>
      <w:r w:rsidR="14DCF0A2" w:rsidRPr="03D06816">
        <w:rPr>
          <w:lang w:val="en-US"/>
        </w:rPr>
        <w:t>the above</w:t>
      </w:r>
      <w:r w:rsidRPr="03D06816">
        <w:rPr>
          <w:lang w:val="en-US"/>
        </w:rPr>
        <w:t xml:space="preserve"> </w:t>
      </w:r>
      <w:r w:rsidR="41760B90" w:rsidRPr="03D06816">
        <w:rPr>
          <w:lang w:val="en-US"/>
        </w:rPr>
        <w:t>table,</w:t>
      </w:r>
      <w:r w:rsidRPr="03D06816">
        <w:rPr>
          <w:lang w:val="en-US"/>
        </w:rPr>
        <w:t xml:space="preserve"> </w:t>
      </w:r>
      <w:r w:rsidR="7D4FDC1C" w:rsidRPr="03D06816">
        <w:rPr>
          <w:lang w:val="en-US"/>
        </w:rPr>
        <w:t xml:space="preserve">In NTN </w:t>
      </w:r>
      <w:r w:rsidR="565EC236" w:rsidRPr="03D06816">
        <w:rPr>
          <w:lang w:val="en-US"/>
        </w:rPr>
        <w:t>deployment</w:t>
      </w:r>
      <w:r w:rsidR="7D4FDC1C" w:rsidRPr="03D06816">
        <w:rPr>
          <w:lang w:val="en-US"/>
        </w:rPr>
        <w:t xml:space="preserve"> </w:t>
      </w:r>
      <w:r w:rsidRPr="03D06816">
        <w:rPr>
          <w:lang w:val="en-US"/>
        </w:rPr>
        <w:t xml:space="preserve">RTT may </w:t>
      </w:r>
      <w:r w:rsidR="063BD1BC" w:rsidRPr="03D06816">
        <w:rPr>
          <w:lang w:val="en-US"/>
        </w:rPr>
        <w:t>vary</w:t>
      </w:r>
      <w:r w:rsidRPr="03D06816">
        <w:rPr>
          <w:lang w:val="en-US"/>
        </w:rPr>
        <w:t xml:space="preserve"> between ~542 ms to ~13 ms </w:t>
      </w:r>
      <w:r w:rsidR="48A87CA6" w:rsidRPr="03D06816">
        <w:rPr>
          <w:lang w:val="en-US"/>
        </w:rPr>
        <w:t xml:space="preserve">depending on payload type and satellite constellation. </w:t>
      </w:r>
      <w:r w:rsidR="3982B95A" w:rsidRPr="03D06816">
        <w:rPr>
          <w:lang w:val="en-US"/>
        </w:rPr>
        <w:t>Large RTT is having a significant impact on HARQ procedures.</w:t>
      </w:r>
    </w:p>
    <w:p w14:paraId="6E4B9765" w14:textId="095493DE" w:rsidR="603B7D0E" w:rsidRDefault="603B7D0E" w:rsidP="00E927DE">
      <w:pPr>
        <w:pStyle w:val="maintext"/>
        <w:ind w:firstLine="480"/>
      </w:pPr>
      <w:r w:rsidRPr="03D06816">
        <w:rPr>
          <w:lang w:val="en-US"/>
        </w:rPr>
        <w:t xml:space="preserve">Considering a subcarrier spacing (SCS) of 15 kHz, where each 10 ms radio frame consists of 10 slots, the first HARQ process initiated in slot 1 would receive its ACK/NACK feedback after </w:t>
      </w:r>
      <w:r w:rsidRPr="03D06816">
        <w:rPr>
          <w:lang w:val="en-US"/>
        </w:rPr>
        <w:lastRenderedPageBreak/>
        <w:t>approximately 542 ms in the case of a deployment of GEO satell</w:t>
      </w:r>
      <w:r w:rsidR="03D243B8" w:rsidRPr="03D06816">
        <w:rPr>
          <w:lang w:val="en-US"/>
        </w:rPr>
        <w:t>ite constellation with transparent payload</w:t>
      </w:r>
      <w:r w:rsidRPr="03D06816">
        <w:rPr>
          <w:lang w:val="en-US"/>
        </w:rPr>
        <w:t>. This duration corresponds to about 54 radio frames (or 540 slots) of delay</w:t>
      </w:r>
      <w:r w:rsidR="7DED0EB7" w:rsidRPr="03D06816">
        <w:rPr>
          <w:lang w:val="en-US"/>
        </w:rPr>
        <w:t>.</w:t>
      </w:r>
      <w:r w:rsidR="446F3445" w:rsidRPr="03D06816">
        <w:rPr>
          <w:lang w:val="en-US"/>
        </w:rPr>
        <w:t xml:space="preserve"> </w:t>
      </w:r>
      <w:r w:rsidR="009E55E9" w:rsidRPr="03D06816">
        <w:rPr>
          <w:lang w:val="en-US"/>
        </w:rPr>
        <w:t>The gNB cannot reuse the same HARQ process ID until it receives the corresponding ACK/NACK feedback from the UE</w:t>
      </w:r>
      <w:r w:rsidR="7829F61E" w:rsidRPr="03D06816">
        <w:rPr>
          <w:lang w:val="en-US"/>
        </w:rPr>
        <w:t>.</w:t>
      </w:r>
    </w:p>
    <w:p w14:paraId="45B794ED" w14:textId="78329A1C" w:rsidR="11B11467" w:rsidRDefault="11B11467" w:rsidP="73888AFF">
      <w:r>
        <w:rPr>
          <w:noProof/>
        </w:rPr>
        <w:drawing>
          <wp:inline distT="0" distB="0" distL="0" distR="0" wp14:anchorId="69856C9A" wp14:editId="1C88BEA4">
            <wp:extent cx="6124575" cy="3067050"/>
            <wp:effectExtent l="0" t="0" r="0" b="0"/>
            <wp:docPr id="56013186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131863" name=""/>
                    <pic:cNvPicPr/>
                  </pic:nvPicPr>
                  <pic:blipFill>
                    <a:blip r:embed="rId11">
                      <a:extLst>
                        <a:ext uri="{28A0092B-C50C-407E-A947-70E740481C1C}">
                          <a14:useLocalDpi xmlns:a14="http://schemas.microsoft.com/office/drawing/2010/main" val="0"/>
                        </a:ext>
                      </a:extLst>
                    </a:blip>
                    <a:stretch>
                      <a:fillRect/>
                    </a:stretch>
                  </pic:blipFill>
                  <pic:spPr>
                    <a:xfrm>
                      <a:off x="0" y="0"/>
                      <a:ext cx="6124575" cy="3067050"/>
                    </a:xfrm>
                    <a:prstGeom prst="rect">
                      <a:avLst/>
                    </a:prstGeom>
                  </pic:spPr>
                </pic:pic>
              </a:graphicData>
            </a:graphic>
          </wp:inline>
        </w:drawing>
      </w:r>
    </w:p>
    <w:p w14:paraId="1C7C428A" w14:textId="655F8AB7" w:rsidR="0C61DACC" w:rsidRDefault="0C61DACC" w:rsidP="03D06816">
      <w:pPr>
        <w:pStyle w:val="maintext"/>
        <w:ind w:firstLine="480"/>
        <w:rPr>
          <w:lang w:val="en-US"/>
        </w:rPr>
      </w:pPr>
      <w:r w:rsidRPr="03D06816">
        <w:rPr>
          <w:lang w:val="en-US"/>
        </w:rPr>
        <w:t>As a result of this</w:t>
      </w:r>
      <w:r w:rsidR="163094D5" w:rsidRPr="03D06816">
        <w:rPr>
          <w:lang w:val="en-US"/>
        </w:rPr>
        <w:t xml:space="preserve"> stalling of HARQ</w:t>
      </w:r>
      <w:r w:rsidRPr="03D06816">
        <w:rPr>
          <w:lang w:val="en-US"/>
        </w:rPr>
        <w:t>, the transmitted data remains buffered for an extended duration, which adversely impacts overall user throughput and degrades end-to-end performance efficiency.</w:t>
      </w:r>
    </w:p>
    <w:p w14:paraId="642503A8" w14:textId="776EAA2D" w:rsidR="5A57DCBB" w:rsidRDefault="3EDB74FE" w:rsidP="00E927DE">
      <w:pPr>
        <w:pStyle w:val="maintext"/>
        <w:ind w:firstLine="480"/>
      </w:pPr>
      <w:r w:rsidRPr="03D06816">
        <w:rPr>
          <w:lang w:val="en-US"/>
        </w:rPr>
        <w:t xml:space="preserve">Till </w:t>
      </w:r>
      <w:r w:rsidR="6862F3C9" w:rsidRPr="03D06816">
        <w:rPr>
          <w:lang w:val="en-US"/>
        </w:rPr>
        <w:t xml:space="preserve">3GPP </w:t>
      </w:r>
      <w:r w:rsidRPr="03D06816">
        <w:rPr>
          <w:lang w:val="en-US"/>
        </w:rPr>
        <w:t>release 16</w:t>
      </w:r>
      <w:r w:rsidR="00E927DE" w:rsidRPr="03D06816">
        <w:rPr>
          <w:lang w:val="en-US"/>
        </w:rPr>
        <w:t>,</w:t>
      </w:r>
      <w:r w:rsidRPr="03D06816">
        <w:rPr>
          <w:lang w:val="en-US"/>
        </w:rPr>
        <w:t xml:space="preserve"> </w:t>
      </w:r>
      <w:r w:rsidR="2837B86D" w:rsidRPr="03D06816">
        <w:rPr>
          <w:lang w:val="en-US"/>
        </w:rPr>
        <w:t>a</w:t>
      </w:r>
      <w:r w:rsidRPr="03D06816">
        <w:rPr>
          <w:lang w:val="en-US"/>
        </w:rPr>
        <w:t xml:space="preserve"> total 16 HARQ process were available so that GNB </w:t>
      </w:r>
      <w:r w:rsidR="5D69504F" w:rsidRPr="03D06816">
        <w:rPr>
          <w:lang w:val="en-US"/>
        </w:rPr>
        <w:t>can</w:t>
      </w:r>
      <w:r w:rsidRPr="03D06816">
        <w:rPr>
          <w:lang w:val="en-US"/>
        </w:rPr>
        <w:t xml:space="preserve"> schedule data </w:t>
      </w:r>
      <w:r w:rsidR="69646A88" w:rsidRPr="03D06816">
        <w:rPr>
          <w:lang w:val="en-US"/>
        </w:rPr>
        <w:t>parallelly</w:t>
      </w:r>
      <w:r w:rsidRPr="03D06816">
        <w:rPr>
          <w:lang w:val="en-US"/>
        </w:rPr>
        <w:t xml:space="preserve"> </w:t>
      </w:r>
      <w:r w:rsidR="6F449879" w:rsidRPr="03D06816">
        <w:rPr>
          <w:lang w:val="en-US"/>
        </w:rPr>
        <w:t>with 16 HARQ process</w:t>
      </w:r>
      <w:r w:rsidR="0C96421B" w:rsidRPr="03D06816">
        <w:rPr>
          <w:lang w:val="en-US"/>
        </w:rPr>
        <w:t>es</w:t>
      </w:r>
      <w:r w:rsidR="63AA00E1" w:rsidRPr="03D06816">
        <w:rPr>
          <w:lang w:val="en-US"/>
        </w:rPr>
        <w:t xml:space="preserve">. But these processes are not sufficient when it comes to long propagation </w:t>
      </w:r>
      <w:r w:rsidR="1FF3B538" w:rsidRPr="03D06816">
        <w:rPr>
          <w:lang w:val="en-US"/>
        </w:rPr>
        <w:t>delays</w:t>
      </w:r>
      <w:r w:rsidR="63AA00E1" w:rsidRPr="03D06816">
        <w:rPr>
          <w:lang w:val="en-US"/>
        </w:rPr>
        <w:t xml:space="preserve">. </w:t>
      </w:r>
    </w:p>
    <w:p w14:paraId="5CDF7C7B" w14:textId="641966EC" w:rsidR="73888AFF" w:rsidRDefault="5A0C620C" w:rsidP="00E927DE">
      <w:pPr>
        <w:pStyle w:val="maintext"/>
        <w:ind w:firstLine="480"/>
      </w:pPr>
      <w:r w:rsidRPr="03D06816">
        <w:rPr>
          <w:lang w:val="en-US"/>
        </w:rPr>
        <w:t>In 3GPP Release 17, the specification increased the number of HARQ processes to 32, providing partial relief for LEO satellite deployments</w:t>
      </w:r>
      <w:r w:rsidR="00542089" w:rsidRPr="03D06816">
        <w:rPr>
          <w:lang w:val="en-US"/>
        </w:rPr>
        <w:t xml:space="preserve"> with RTT below approximately 30 ms</w:t>
      </w:r>
      <w:r w:rsidRPr="03D06816">
        <w:rPr>
          <w:lang w:val="en-US"/>
        </w:rPr>
        <w:t xml:space="preserve">, where the RTT is relatively lower compared to GEO satellite constellations. However, to effectively handle the long RTT scenarios observed in GEO and MEO systems, </w:t>
      </w:r>
      <w:r w:rsidR="006F4D82" w:rsidRPr="03D06816">
        <w:rPr>
          <w:lang w:val="en-US"/>
        </w:rPr>
        <w:t>3GPP introduced an option to disable downlink HARQ feedback for specific NTN configurations, allowing error recovery to rely on higher-layer retransmission mechanisms such as RLC Acknowledged Mode (AM).</w:t>
      </w:r>
    </w:p>
    <w:p w14:paraId="3E8FBEE2" w14:textId="53437751" w:rsidR="00E529C1" w:rsidRDefault="00E529C1" w:rsidP="00720B34">
      <w:pPr>
        <w:pStyle w:val="Observation"/>
      </w:pPr>
      <w:r>
        <w:t xml:space="preserve"> </w:t>
      </w:r>
      <w:r w:rsidRPr="00E529C1">
        <w:t>In 5G NTN, the specification increases the number of downlink and uplink HARQ processes up to 32 and introduces an option to disable downlink HARQ feedback to prevent HARQ stalling under large RTT conditions.</w:t>
      </w:r>
    </w:p>
    <w:p w14:paraId="42A8BAD1" w14:textId="7AAC4766" w:rsidR="00720B34" w:rsidRPr="00720B34" w:rsidRDefault="00720B34" w:rsidP="00720B34">
      <w:pPr>
        <w:pStyle w:val="Proposal"/>
      </w:pPr>
      <w:r>
        <w:t xml:space="preserve"> </w:t>
      </w:r>
      <w:r w:rsidRPr="00720B34">
        <w:t xml:space="preserve">During 6GR design, RAN2 shall study a unified HARQ design that can mitigate HARQ process stalling caused by large </w:t>
      </w:r>
      <w:r w:rsidR="00F61BD5">
        <w:t>RTTs</w:t>
      </w:r>
      <w:r w:rsidRPr="00720B34">
        <w:t xml:space="preserve"> in NTN scenarios.</w:t>
      </w:r>
    </w:p>
    <w:p w14:paraId="5E13BDB0" w14:textId="20EFB56D" w:rsidR="00720B34" w:rsidRPr="00720B34" w:rsidRDefault="00720B34" w:rsidP="00720B34">
      <w:pPr>
        <w:pStyle w:val="Proposal"/>
      </w:pPr>
      <w:r>
        <w:t xml:space="preserve"> </w:t>
      </w:r>
      <w:r w:rsidRPr="00720B34">
        <w:t>During 6GR design, RAN2 shall consider inclusion of the downlink HARQ feedback disable functionality from the initial design phase (“day 1”).</w:t>
      </w:r>
    </w:p>
    <w:p w14:paraId="572C8745" w14:textId="65343C7F" w:rsidR="377DB81A" w:rsidRDefault="377DB81A" w:rsidP="03D06816">
      <w:pPr>
        <w:pStyle w:val="Heading2"/>
        <w:rPr>
          <w:lang w:val="fi-FI"/>
        </w:rPr>
      </w:pPr>
      <w:r w:rsidRPr="03D06816">
        <w:rPr>
          <w:lang w:val="fi-FI"/>
        </w:rPr>
        <w:lastRenderedPageBreak/>
        <w:t>NTN specific measurement events</w:t>
      </w:r>
    </w:p>
    <w:p w14:paraId="750C5EA9" w14:textId="5796BDF2" w:rsidR="613A0B17" w:rsidRDefault="613A0B17" w:rsidP="03D06816">
      <w:pPr>
        <w:pStyle w:val="maintext"/>
        <w:ind w:firstLine="480"/>
        <w:rPr>
          <w:rFonts w:ascii="Calibri" w:eastAsia="Calibri" w:hAnsi="Calibri" w:cs="Calibri"/>
          <w:b/>
          <w:bCs/>
          <w:lang w:val="en-US"/>
        </w:rPr>
      </w:pPr>
      <w:r w:rsidRPr="03D06816">
        <w:rPr>
          <w:lang w:val="en-US"/>
        </w:rPr>
        <w:t xml:space="preserve">In 5G NR-NTN, conventional terrestrial mobility procedures are insufficient due to the dynamic movement of satellites </w:t>
      </w:r>
      <w:r w:rsidR="3DEC1810" w:rsidRPr="03D06816">
        <w:rPr>
          <w:lang w:val="en-US"/>
        </w:rPr>
        <w:t>which</w:t>
      </w:r>
      <w:r w:rsidRPr="03D06816">
        <w:rPr>
          <w:lang w:val="en-US"/>
        </w:rPr>
        <w:t xml:space="preserve"> </w:t>
      </w:r>
      <w:r w:rsidR="4F577B8C" w:rsidRPr="03D06816">
        <w:rPr>
          <w:lang w:val="en-US"/>
        </w:rPr>
        <w:t>results</w:t>
      </w:r>
      <w:r w:rsidR="073C01E1" w:rsidRPr="03D06816">
        <w:rPr>
          <w:lang w:val="en-US"/>
        </w:rPr>
        <w:t xml:space="preserve"> in</w:t>
      </w:r>
      <w:r w:rsidRPr="03D06816">
        <w:rPr>
          <w:lang w:val="en-US"/>
        </w:rPr>
        <w:t xml:space="preserve"> frequent variation in cell or beam coverage</w:t>
      </w:r>
      <w:r w:rsidR="38F25FE7" w:rsidRPr="03D06816">
        <w:rPr>
          <w:lang w:val="en-US"/>
        </w:rPr>
        <w:t>.</w:t>
      </w:r>
      <w:r w:rsidR="05C9A21E" w:rsidRPr="03D06816">
        <w:rPr>
          <w:lang w:val="en-US"/>
        </w:rPr>
        <w:t xml:space="preserve"> To address this challenge of fast-moving satellite and </w:t>
      </w:r>
      <w:r w:rsidR="05C9A21E" w:rsidRPr="03D06816">
        <w:rPr>
          <w:rFonts w:ascii="Calibri" w:eastAsia="Calibri" w:hAnsi="Calibri" w:cs="Calibri"/>
          <w:lang w:val="en-US"/>
        </w:rPr>
        <w:t xml:space="preserve">rapidly changing beam coverage, </w:t>
      </w:r>
      <w:r w:rsidR="05C9A21E" w:rsidRPr="03D06816">
        <w:rPr>
          <w:rFonts w:ascii="Calibri" w:eastAsia="Calibri" w:hAnsi="Calibri" w:cs="Calibri"/>
          <w:b/>
          <w:bCs/>
          <w:lang w:val="en-US"/>
        </w:rPr>
        <w:t>3GPP Release 17</w:t>
      </w:r>
      <w:r w:rsidR="05C9A21E" w:rsidRPr="03D06816">
        <w:rPr>
          <w:rFonts w:ascii="Calibri" w:eastAsia="Calibri" w:hAnsi="Calibri" w:cs="Calibri"/>
          <w:lang w:val="en-US"/>
        </w:rPr>
        <w:t xml:space="preserve"> introduced new measurement</w:t>
      </w:r>
      <w:r w:rsidR="39144807" w:rsidRPr="03D06816">
        <w:rPr>
          <w:rFonts w:ascii="Calibri" w:eastAsia="Calibri" w:hAnsi="Calibri" w:cs="Calibri"/>
          <w:lang w:val="en-US"/>
        </w:rPr>
        <w:t xml:space="preserve"> events</w:t>
      </w:r>
      <w:r w:rsidR="05C9A21E" w:rsidRPr="03D06816">
        <w:rPr>
          <w:rFonts w:ascii="Calibri" w:eastAsia="Calibri" w:hAnsi="Calibri" w:cs="Calibri"/>
          <w:lang w:val="en-US"/>
        </w:rPr>
        <w:t xml:space="preserve"> based on location</w:t>
      </w:r>
      <w:r w:rsidR="234D0BA2" w:rsidRPr="03D06816">
        <w:rPr>
          <w:rFonts w:ascii="Calibri" w:eastAsia="Calibri" w:hAnsi="Calibri" w:cs="Calibri"/>
          <w:lang w:val="en-US"/>
        </w:rPr>
        <w:t xml:space="preserve"> (</w:t>
      </w:r>
      <w:r w:rsidR="25B665C4" w:rsidRPr="03D06816">
        <w:rPr>
          <w:rFonts w:ascii="Calibri" w:eastAsia="Calibri" w:hAnsi="Calibri" w:cs="Calibri"/>
          <w:lang w:val="en-US"/>
        </w:rPr>
        <w:t>Event D1 and D2</w:t>
      </w:r>
      <w:r w:rsidR="1C05D43A" w:rsidRPr="03D06816">
        <w:rPr>
          <w:rFonts w:ascii="Calibri" w:eastAsia="Calibri" w:hAnsi="Calibri" w:cs="Calibri"/>
          <w:lang w:val="en-US"/>
        </w:rPr>
        <w:t>) and</w:t>
      </w:r>
      <w:r w:rsidR="38468DF4" w:rsidRPr="03D06816">
        <w:rPr>
          <w:rFonts w:ascii="Calibri" w:eastAsia="Calibri" w:hAnsi="Calibri" w:cs="Calibri"/>
          <w:lang w:val="en-US"/>
        </w:rPr>
        <w:t xml:space="preserve"> based on time (CondEvent T1)</w:t>
      </w:r>
      <w:r w:rsidR="65914965" w:rsidRPr="03D06816">
        <w:rPr>
          <w:rFonts w:ascii="Calibri" w:eastAsia="Calibri" w:hAnsi="Calibri" w:cs="Calibri"/>
          <w:lang w:val="en-US"/>
        </w:rPr>
        <w:t>.</w:t>
      </w:r>
    </w:p>
    <w:p w14:paraId="2EFE41F7" w14:textId="1C25234F" w:rsidR="7BBFE076" w:rsidRDefault="7BBFE076" w:rsidP="7BBFE076">
      <w:pPr>
        <w:spacing w:after="0"/>
        <w:rPr>
          <w:rFonts w:eastAsiaTheme="minorEastAsia"/>
        </w:rPr>
      </w:pPr>
    </w:p>
    <w:p w14:paraId="5B5653F5" w14:textId="2982C08D" w:rsidR="00340E1C" w:rsidRDefault="003E1096" w:rsidP="003E1096">
      <w:pPr>
        <w:pStyle w:val="Observation"/>
      </w:pPr>
      <w:r>
        <w:t xml:space="preserve"> </w:t>
      </w:r>
      <w:r w:rsidR="00E55A21">
        <w:t xml:space="preserve">In 5G NR-NTN, 3GPP introduced </w:t>
      </w:r>
      <w:r w:rsidR="00E55A21" w:rsidRPr="003E1096">
        <w:rPr>
          <w:rStyle w:val="Strong"/>
          <w:b/>
          <w:bCs/>
        </w:rPr>
        <w:t>location-based measurement events (Event D1 and Event D2)</w:t>
      </w:r>
      <w:r w:rsidR="00E55A21" w:rsidRPr="7BBFE076">
        <w:t xml:space="preserve"> </w:t>
      </w:r>
      <w:r w:rsidR="00E55A21">
        <w:t xml:space="preserve">and </w:t>
      </w:r>
      <w:r w:rsidR="00E55A21" w:rsidRPr="003E1096">
        <w:rPr>
          <w:rStyle w:val="Strong"/>
          <w:b/>
          <w:bCs/>
        </w:rPr>
        <w:t>time-based conditional events (Conditional Event T1)</w:t>
      </w:r>
      <w:r w:rsidR="00E55A21" w:rsidRPr="7BBFE076">
        <w:t xml:space="preserve"> </w:t>
      </w:r>
      <w:r w:rsidR="00E55A21">
        <w:t xml:space="preserve">to enhance mobility support under </w:t>
      </w:r>
      <w:r w:rsidR="00E55A21" w:rsidRPr="003E1096">
        <w:rPr>
          <w:rStyle w:val="Strong"/>
          <w:b/>
          <w:bCs/>
        </w:rPr>
        <w:t>fast-moving satellite</w:t>
      </w:r>
      <w:r w:rsidR="00E55A21">
        <w:t xml:space="preserve"> conditions.</w:t>
      </w:r>
    </w:p>
    <w:p w14:paraId="6276D019" w14:textId="702A8900" w:rsidR="00A17EC9" w:rsidRPr="003E1096" w:rsidRDefault="003E1096" w:rsidP="003E1096">
      <w:pPr>
        <w:pStyle w:val="Proposal"/>
        <w:rPr>
          <w:b w:val="0"/>
          <w:bCs w:val="0"/>
        </w:rPr>
      </w:pPr>
      <w:r>
        <w:t xml:space="preserve"> </w:t>
      </w:r>
      <w:r w:rsidR="003D6286" w:rsidRPr="003E1096">
        <w:t>In 6GR design</w:t>
      </w:r>
      <w:r w:rsidR="67E7175E" w:rsidRPr="003E1096">
        <w:t>,</w:t>
      </w:r>
      <w:r w:rsidR="003D6286" w:rsidRPr="003E1096">
        <w:t xml:space="preserve"> </w:t>
      </w:r>
      <w:r w:rsidR="3B0EEAD3" w:rsidRPr="003E1096">
        <w:t xml:space="preserve">RAN 2 </w:t>
      </w:r>
      <w:r w:rsidR="003D6286" w:rsidRPr="003E1096">
        <w:t xml:space="preserve">shall consider </w:t>
      </w:r>
      <w:r w:rsidR="003D6286" w:rsidRPr="003E1096">
        <w:rPr>
          <w:rStyle w:val="Strong"/>
          <w:b/>
          <w:bCs/>
        </w:rPr>
        <w:t>location-based measurement events (Event D1 and Event D2)</w:t>
      </w:r>
      <w:r w:rsidR="003D6286" w:rsidRPr="003E1096">
        <w:rPr>
          <w:b w:val="0"/>
          <w:bCs w:val="0"/>
        </w:rPr>
        <w:t xml:space="preserve"> </w:t>
      </w:r>
      <w:r w:rsidR="003D6286" w:rsidRPr="003E1096">
        <w:t>and</w:t>
      </w:r>
      <w:r w:rsidR="003D6286" w:rsidRPr="003E1096">
        <w:rPr>
          <w:b w:val="0"/>
          <w:bCs w:val="0"/>
        </w:rPr>
        <w:t xml:space="preserve"> </w:t>
      </w:r>
      <w:r w:rsidR="003D6286" w:rsidRPr="003E1096">
        <w:rPr>
          <w:rStyle w:val="Strong"/>
          <w:b/>
          <w:bCs/>
        </w:rPr>
        <w:t xml:space="preserve">time-based conditional events (Conditional Event T1) as </w:t>
      </w:r>
      <w:r w:rsidR="2BA4A9DE" w:rsidRPr="003E1096">
        <w:rPr>
          <w:rStyle w:val="Strong"/>
          <w:b/>
          <w:bCs/>
        </w:rPr>
        <w:t xml:space="preserve">baseline </w:t>
      </w:r>
      <w:r w:rsidR="003D6286" w:rsidRPr="003E1096">
        <w:rPr>
          <w:rStyle w:val="Strong"/>
          <w:b/>
          <w:bCs/>
        </w:rPr>
        <w:t>NTN specific functionality for NTN mobility.</w:t>
      </w:r>
    </w:p>
    <w:p w14:paraId="29A9A992" w14:textId="6A8B5E5A" w:rsidR="0096150A" w:rsidRPr="0096150A" w:rsidRDefault="75F17F20" w:rsidP="0059326F">
      <w:pPr>
        <w:pStyle w:val="Heading2"/>
      </w:pPr>
      <w:r w:rsidRPr="03D06816">
        <w:rPr>
          <w:lang w:val="fi-FI"/>
        </w:rPr>
        <w:t xml:space="preserve">Timing </w:t>
      </w:r>
      <w:r w:rsidR="0E92EE39" w:rsidRPr="03D06816">
        <w:rPr>
          <w:lang w:val="fi-FI"/>
        </w:rPr>
        <w:t>A</w:t>
      </w:r>
      <w:r w:rsidRPr="03D06816">
        <w:rPr>
          <w:lang w:val="fi-FI"/>
        </w:rPr>
        <w:t xml:space="preserve">dvance </w:t>
      </w:r>
    </w:p>
    <w:p w14:paraId="597920FB" w14:textId="676E6F99" w:rsidR="2CAE727B" w:rsidRDefault="0059326F" w:rsidP="00E471B2">
      <w:pPr>
        <w:pStyle w:val="maintext"/>
        <w:ind w:firstLine="480"/>
      </w:pPr>
      <w:r w:rsidRPr="03D06816">
        <w:rPr>
          <w:lang w:val="en-US"/>
        </w:rPr>
        <w:t>NTN</w:t>
      </w:r>
      <w:r w:rsidR="2CAE727B" w:rsidRPr="03D06816">
        <w:rPr>
          <w:lang w:val="en-US"/>
        </w:rPr>
        <w:t xml:space="preserve"> introduce long propagation delays due to the significantly increased distance between the </w:t>
      </w:r>
      <w:r w:rsidRPr="03D06816">
        <w:rPr>
          <w:lang w:val="en-US"/>
        </w:rPr>
        <w:t>UE</w:t>
      </w:r>
      <w:r w:rsidR="2CAE727B" w:rsidRPr="03D06816">
        <w:rPr>
          <w:lang w:val="en-US"/>
        </w:rPr>
        <w:t xml:space="preserve"> and the radio access network. To accommodate this, the timing advance (TA) mechanism must account for the extended propagation time compared to terrestrial deployments. However, there is no explicit modification to the timing advance procedure itself for NTN. Instead, the 3GPP 5G NR-NTN</w:t>
      </w:r>
      <w:r w:rsidR="2CAE727B" w:rsidRPr="03D06816">
        <w:rPr>
          <w:b/>
          <w:bCs/>
          <w:lang w:val="en-US"/>
        </w:rPr>
        <w:t xml:space="preserve"> </w:t>
      </w:r>
      <w:r w:rsidR="2CAE727B" w:rsidRPr="03D06816">
        <w:rPr>
          <w:lang w:val="en-US"/>
        </w:rPr>
        <w:t>specification adopts a</w:t>
      </w:r>
      <w:r w:rsidR="00EB5F63" w:rsidRPr="03D06816">
        <w:rPr>
          <w:lang w:val="en-US"/>
        </w:rPr>
        <w:t xml:space="preserve">n extended </w:t>
      </w:r>
      <w:r w:rsidR="2CAE727B" w:rsidRPr="03D06816">
        <w:rPr>
          <w:lang w:val="en-US"/>
        </w:rPr>
        <w:t>TA design that supports both TN and NTN operation, ensuring compatibility while allowing for extended TA values to compensate for large signal propagation delays inherent to satellite links.</w:t>
      </w:r>
    </w:p>
    <w:p w14:paraId="533D2F3A" w14:textId="51342FD1" w:rsidR="4DCD42CB" w:rsidRDefault="4DCD42CB" w:rsidP="03D06816">
      <w:pPr>
        <w:pStyle w:val="maintext"/>
        <w:ind w:firstLine="480"/>
        <w:rPr>
          <w:rFonts w:eastAsiaTheme="minorEastAsia"/>
          <w:lang w:val="en-US"/>
        </w:rPr>
      </w:pPr>
      <w:r w:rsidRPr="03D06816">
        <w:rPr>
          <w:rFonts w:eastAsiaTheme="minorEastAsia"/>
          <w:lang w:val="en-US"/>
        </w:rPr>
        <w:t xml:space="preserve">In NTN network, </w:t>
      </w:r>
      <w:r w:rsidR="7A007C14" w:rsidRPr="03D06816">
        <w:rPr>
          <w:rFonts w:eastAsiaTheme="minorEastAsia"/>
          <w:lang w:val="en-US"/>
        </w:rPr>
        <w:t>the</w:t>
      </w:r>
      <w:r w:rsidRPr="03D06816">
        <w:rPr>
          <w:rFonts w:eastAsiaTheme="minorEastAsia"/>
          <w:lang w:val="en-US"/>
        </w:rPr>
        <w:t xml:space="preserve"> uplink frame transmission takes place</w:t>
      </w:r>
      <w:r w:rsidRPr="03D06816">
        <w:rPr>
          <w:rFonts w:ascii="Calibri Light" w:eastAsia="Calibri Light" w:hAnsi="Calibri Light" w:cs="Calibri Light"/>
          <w:sz w:val="22"/>
          <w:szCs w:val="22"/>
          <w:lang w:val="en-US"/>
        </w:rPr>
        <w:t xml:space="preserve"> (N</w:t>
      </w:r>
      <w:r w:rsidRPr="03D06816">
        <w:rPr>
          <w:rFonts w:ascii="Calibri Light" w:eastAsia="Calibri Light" w:hAnsi="Calibri Light" w:cs="Calibri Light"/>
          <w:sz w:val="22"/>
          <w:szCs w:val="22"/>
          <w:vertAlign w:val="subscript"/>
          <w:lang w:val="en-US"/>
        </w:rPr>
        <w:t xml:space="preserve">TA </w:t>
      </w:r>
      <w:r w:rsidRPr="03D06816">
        <w:rPr>
          <w:rFonts w:ascii="Calibri Light" w:eastAsia="Calibri Light" w:hAnsi="Calibri Light" w:cs="Calibri Light"/>
          <w:sz w:val="22"/>
          <w:szCs w:val="22"/>
          <w:lang w:val="en-US"/>
        </w:rPr>
        <w:t>+ N</w:t>
      </w:r>
      <w:r w:rsidRPr="03D06816">
        <w:rPr>
          <w:rFonts w:ascii="Calibri Light" w:eastAsia="Calibri Light" w:hAnsi="Calibri Light" w:cs="Calibri Light"/>
          <w:sz w:val="22"/>
          <w:szCs w:val="22"/>
          <w:vertAlign w:val="subscript"/>
          <w:lang w:val="en-US"/>
        </w:rPr>
        <w:t xml:space="preserve">TA.offset </w:t>
      </w:r>
      <w:r w:rsidRPr="03D06816">
        <w:rPr>
          <w:rFonts w:ascii="Calibri Light" w:eastAsia="Calibri Light" w:hAnsi="Calibri Light" w:cs="Calibri Light"/>
          <w:sz w:val="22"/>
          <w:szCs w:val="22"/>
          <w:lang w:val="en-US"/>
        </w:rPr>
        <w:t>+N</w:t>
      </w:r>
      <w:r w:rsidRPr="03D06816">
        <w:rPr>
          <w:rFonts w:ascii="Calibri Light" w:eastAsia="Calibri Light" w:hAnsi="Calibri Light" w:cs="Calibri Light"/>
          <w:sz w:val="22"/>
          <w:szCs w:val="22"/>
          <w:vertAlign w:val="subscript"/>
          <w:lang w:val="en-US"/>
        </w:rPr>
        <w:t>TA.adj</w:t>
      </w:r>
      <w:r w:rsidRPr="03D06816">
        <w:rPr>
          <w:rFonts w:ascii="Calibri Light" w:eastAsia="Calibri Light" w:hAnsi="Calibri Light" w:cs="Calibri Light"/>
          <w:sz w:val="22"/>
          <w:szCs w:val="22"/>
          <w:vertAlign w:val="superscript"/>
          <w:lang w:val="en-US"/>
        </w:rPr>
        <w:t>common</w:t>
      </w:r>
      <w:r w:rsidRPr="03D06816">
        <w:rPr>
          <w:rFonts w:ascii="Calibri Light" w:eastAsia="Calibri Light" w:hAnsi="Calibri Light" w:cs="Calibri Light"/>
          <w:sz w:val="22"/>
          <w:szCs w:val="22"/>
          <w:lang w:val="en-US"/>
        </w:rPr>
        <w:t xml:space="preserve"> + N</w:t>
      </w:r>
      <w:r w:rsidRPr="03D06816">
        <w:rPr>
          <w:rFonts w:ascii="Calibri Light" w:eastAsia="Calibri Light" w:hAnsi="Calibri Light" w:cs="Calibri Light"/>
          <w:sz w:val="22"/>
          <w:szCs w:val="22"/>
          <w:vertAlign w:val="subscript"/>
          <w:lang w:val="en-US"/>
        </w:rPr>
        <w:t>TA.adj</w:t>
      </w:r>
      <w:r w:rsidRPr="03D06816">
        <w:rPr>
          <w:rFonts w:ascii="Calibri Light" w:eastAsia="Calibri Light" w:hAnsi="Calibri Light" w:cs="Calibri Light"/>
          <w:sz w:val="22"/>
          <w:szCs w:val="22"/>
          <w:vertAlign w:val="superscript"/>
          <w:lang w:val="en-US"/>
        </w:rPr>
        <w:t>UE</w:t>
      </w:r>
      <w:r w:rsidRPr="03D06816">
        <w:rPr>
          <w:rFonts w:ascii="Calibri Light" w:eastAsia="Calibri Light" w:hAnsi="Calibri Light" w:cs="Calibri Light"/>
          <w:sz w:val="22"/>
          <w:szCs w:val="22"/>
          <w:lang w:val="en-US"/>
        </w:rPr>
        <w:t xml:space="preserve">)x </w:t>
      </w:r>
      <w:r w:rsidR="379F1B62" w:rsidRPr="03D06816">
        <w:rPr>
          <w:rFonts w:ascii="Calibri Light" w:eastAsia="Calibri Light" w:hAnsi="Calibri Light" w:cs="Calibri Light"/>
          <w:sz w:val="22"/>
          <w:szCs w:val="22"/>
          <w:lang w:val="en-US"/>
        </w:rPr>
        <w:t xml:space="preserve">Tc </w:t>
      </w:r>
      <w:r w:rsidR="007C21E1" w:rsidRPr="03D06816">
        <w:rPr>
          <w:rFonts w:ascii="Calibri Light" w:eastAsia="Calibri Light" w:hAnsi="Calibri Light" w:cs="Calibri Light"/>
          <w:sz w:val="22"/>
          <w:szCs w:val="22"/>
          <w:lang w:val="en-US"/>
        </w:rPr>
        <w:t xml:space="preserve">[3] </w:t>
      </w:r>
      <w:r w:rsidR="379F1B62" w:rsidRPr="03D06816">
        <w:rPr>
          <w:rFonts w:eastAsiaTheme="minorEastAsia"/>
          <w:lang w:val="en-US"/>
        </w:rPr>
        <w:t>before</w:t>
      </w:r>
      <w:r w:rsidRPr="03D06816">
        <w:rPr>
          <w:rFonts w:eastAsiaTheme="minorEastAsia"/>
          <w:lang w:val="en-US"/>
        </w:rPr>
        <w:t xml:space="preserve"> the reception of the first detected path (in time) of the corresponding downlink frame from the reference cell</w:t>
      </w:r>
      <w:r w:rsidR="77140EB6" w:rsidRPr="03D06816">
        <w:rPr>
          <w:rFonts w:eastAsiaTheme="minorEastAsia"/>
          <w:lang w:val="en-US"/>
        </w:rPr>
        <w:t>.</w:t>
      </w:r>
    </w:p>
    <w:p w14:paraId="4A4D3E95" w14:textId="5818AB9F" w:rsidR="6FE5D044" w:rsidRDefault="6FE5D044" w:rsidP="03D06816">
      <w:pPr>
        <w:pStyle w:val="maintext"/>
        <w:ind w:firstLine="440"/>
        <w:rPr>
          <w:rFonts w:eastAsiaTheme="minorEastAsia"/>
          <w:lang w:val="en-US"/>
        </w:rPr>
      </w:pPr>
      <w:r w:rsidRPr="03D06816">
        <w:rPr>
          <w:rFonts w:ascii="Calibri Light" w:eastAsia="Calibri Light" w:hAnsi="Calibri Light" w:cs="Calibri Light"/>
          <w:sz w:val="22"/>
          <w:szCs w:val="22"/>
          <w:lang w:val="en-US"/>
        </w:rPr>
        <w:t>N</w:t>
      </w:r>
      <w:r w:rsidRPr="03D06816">
        <w:rPr>
          <w:rFonts w:ascii="Calibri Light" w:eastAsia="Calibri Light" w:hAnsi="Calibri Light" w:cs="Calibri Light"/>
          <w:sz w:val="22"/>
          <w:szCs w:val="22"/>
          <w:vertAlign w:val="subscript"/>
          <w:lang w:val="en-US"/>
        </w:rPr>
        <w:t>TA</w:t>
      </w:r>
      <w:r w:rsidRPr="03D06816">
        <w:rPr>
          <w:rFonts w:eastAsiaTheme="minorEastAsia"/>
          <w:lang w:val="en-US"/>
        </w:rPr>
        <w:t xml:space="preserve"> and </w:t>
      </w:r>
      <w:r w:rsidRPr="03D06816">
        <w:rPr>
          <w:rFonts w:ascii="Calibri Light" w:eastAsia="Calibri Light" w:hAnsi="Calibri Light" w:cs="Calibri Light"/>
          <w:sz w:val="22"/>
          <w:szCs w:val="22"/>
          <w:lang w:val="en-US"/>
        </w:rPr>
        <w:t>N</w:t>
      </w:r>
      <w:r w:rsidRPr="03D06816">
        <w:rPr>
          <w:rFonts w:ascii="Calibri Light" w:eastAsia="Calibri Light" w:hAnsi="Calibri Light" w:cs="Calibri Light"/>
          <w:sz w:val="22"/>
          <w:szCs w:val="22"/>
          <w:vertAlign w:val="subscript"/>
          <w:lang w:val="en-US"/>
        </w:rPr>
        <w:t>TA.offset</w:t>
      </w:r>
      <w:r w:rsidRPr="03D06816">
        <w:rPr>
          <w:rFonts w:eastAsiaTheme="minorEastAsia"/>
          <w:lang w:val="en-US"/>
        </w:rPr>
        <w:t xml:space="preserve"> parameters remain common for TN and NTN. In NTN, </w:t>
      </w:r>
      <w:r w:rsidRPr="03D06816">
        <w:rPr>
          <w:rFonts w:ascii="Calibri" w:eastAsia="Calibri" w:hAnsi="Calibri" w:cs="Calibri"/>
          <w:lang w:val="en-US"/>
        </w:rPr>
        <w:t>3GPP introduced two additional parameters</w:t>
      </w:r>
      <w:r w:rsidRPr="03D06816">
        <w:rPr>
          <w:rFonts w:eastAsiaTheme="minorEastAsia"/>
          <w:lang w:val="en-US"/>
        </w:rPr>
        <w:t xml:space="preserve"> </w:t>
      </w:r>
      <w:r w:rsidRPr="03D06816">
        <w:rPr>
          <w:rFonts w:ascii="Calibri Light" w:eastAsia="Calibri Light" w:hAnsi="Calibri Light" w:cs="Calibri Light"/>
          <w:sz w:val="22"/>
          <w:szCs w:val="22"/>
          <w:lang w:val="en-US"/>
        </w:rPr>
        <w:t>N</w:t>
      </w:r>
      <w:r w:rsidRPr="03D06816">
        <w:rPr>
          <w:rFonts w:ascii="Calibri Light" w:eastAsia="Calibri Light" w:hAnsi="Calibri Light" w:cs="Calibri Light"/>
          <w:sz w:val="22"/>
          <w:szCs w:val="22"/>
          <w:vertAlign w:val="subscript"/>
          <w:lang w:val="en-US"/>
        </w:rPr>
        <w:t>TA.adj</w:t>
      </w:r>
      <w:r w:rsidRPr="03D06816">
        <w:rPr>
          <w:rFonts w:ascii="Calibri Light" w:eastAsia="Calibri Light" w:hAnsi="Calibri Light" w:cs="Calibri Light"/>
          <w:sz w:val="22"/>
          <w:szCs w:val="22"/>
          <w:vertAlign w:val="superscript"/>
          <w:lang w:val="en-US"/>
        </w:rPr>
        <w:t>common</w:t>
      </w:r>
      <w:r w:rsidRPr="03D06816">
        <w:rPr>
          <w:rFonts w:eastAsiaTheme="minorEastAsia"/>
          <w:lang w:val="en-US"/>
        </w:rPr>
        <w:t xml:space="preserve"> and </w:t>
      </w:r>
      <w:r w:rsidRPr="03D06816">
        <w:rPr>
          <w:rFonts w:ascii="Calibri Light" w:eastAsia="Calibri Light" w:hAnsi="Calibri Light" w:cs="Calibri Light"/>
          <w:sz w:val="22"/>
          <w:szCs w:val="22"/>
          <w:lang w:val="en-US"/>
        </w:rPr>
        <w:t>N</w:t>
      </w:r>
      <w:r w:rsidRPr="03D06816">
        <w:rPr>
          <w:rFonts w:ascii="Calibri Light" w:eastAsia="Calibri Light" w:hAnsi="Calibri Light" w:cs="Calibri Light"/>
          <w:sz w:val="22"/>
          <w:szCs w:val="22"/>
          <w:vertAlign w:val="subscript"/>
          <w:lang w:val="en-US"/>
        </w:rPr>
        <w:t>TA.adj</w:t>
      </w:r>
      <w:r w:rsidRPr="03D06816">
        <w:rPr>
          <w:rFonts w:ascii="Calibri Light" w:eastAsia="Calibri Light" w:hAnsi="Calibri Light" w:cs="Calibri Light"/>
          <w:sz w:val="22"/>
          <w:szCs w:val="22"/>
          <w:vertAlign w:val="superscript"/>
          <w:lang w:val="en-US"/>
        </w:rPr>
        <w:t>UE</w:t>
      </w:r>
      <w:r w:rsidRPr="03D06816">
        <w:rPr>
          <w:rFonts w:eastAsiaTheme="minorEastAsia"/>
          <w:lang w:val="en-US"/>
        </w:rPr>
        <w:t xml:space="preserve"> </w:t>
      </w:r>
      <w:r w:rsidRPr="03D06816">
        <w:rPr>
          <w:rFonts w:ascii="Calibri" w:eastAsia="Calibri" w:hAnsi="Calibri" w:cs="Calibri"/>
          <w:lang w:val="en-US"/>
        </w:rPr>
        <w:t>to compensate for the extended propagation delay specific to satellite communication.</w:t>
      </w:r>
      <w:r w:rsidRPr="03D06816">
        <w:rPr>
          <w:rFonts w:eastAsiaTheme="minorEastAsia"/>
          <w:lang w:val="en-US"/>
        </w:rPr>
        <w:t xml:space="preserve"> In Terrestrial Network,  </w:t>
      </w:r>
      <w:r w:rsidRPr="03D06816">
        <w:rPr>
          <w:rFonts w:ascii="Calibri Light" w:eastAsia="Calibri Light" w:hAnsi="Calibri Light" w:cs="Calibri Light"/>
          <w:sz w:val="22"/>
          <w:szCs w:val="22"/>
          <w:lang w:val="en-US"/>
        </w:rPr>
        <w:t>N</w:t>
      </w:r>
      <w:r w:rsidRPr="03D06816">
        <w:rPr>
          <w:rFonts w:ascii="Calibri Light" w:eastAsia="Calibri Light" w:hAnsi="Calibri Light" w:cs="Calibri Light"/>
          <w:sz w:val="22"/>
          <w:szCs w:val="22"/>
          <w:vertAlign w:val="subscript"/>
          <w:lang w:val="en-US"/>
        </w:rPr>
        <w:t>TA.adj</w:t>
      </w:r>
      <w:r w:rsidRPr="03D06816">
        <w:rPr>
          <w:rFonts w:ascii="Calibri Light" w:eastAsia="Calibri Light" w:hAnsi="Calibri Light" w:cs="Calibri Light"/>
          <w:sz w:val="22"/>
          <w:szCs w:val="22"/>
          <w:vertAlign w:val="superscript"/>
          <w:lang w:val="en-US"/>
        </w:rPr>
        <w:t>common</w:t>
      </w:r>
      <w:r w:rsidRPr="03D06816">
        <w:rPr>
          <w:rFonts w:eastAsiaTheme="minorEastAsia"/>
          <w:lang w:val="en-US"/>
        </w:rPr>
        <w:t xml:space="preserve"> and </w:t>
      </w:r>
      <w:r w:rsidRPr="03D06816">
        <w:rPr>
          <w:rFonts w:ascii="Calibri Light" w:eastAsia="Calibri Light" w:hAnsi="Calibri Light" w:cs="Calibri Light"/>
          <w:sz w:val="22"/>
          <w:szCs w:val="22"/>
          <w:lang w:val="en-US"/>
        </w:rPr>
        <w:t>N</w:t>
      </w:r>
      <w:r w:rsidRPr="03D06816">
        <w:rPr>
          <w:rFonts w:ascii="Calibri Light" w:eastAsia="Calibri Light" w:hAnsi="Calibri Light" w:cs="Calibri Light"/>
          <w:sz w:val="22"/>
          <w:szCs w:val="22"/>
          <w:vertAlign w:val="subscript"/>
          <w:lang w:val="en-US"/>
        </w:rPr>
        <w:t>TA.adj</w:t>
      </w:r>
      <w:r w:rsidRPr="03D06816">
        <w:rPr>
          <w:rFonts w:ascii="Calibri Light" w:eastAsia="Calibri Light" w:hAnsi="Calibri Light" w:cs="Calibri Light"/>
          <w:sz w:val="22"/>
          <w:szCs w:val="22"/>
          <w:vertAlign w:val="superscript"/>
          <w:lang w:val="en-US"/>
        </w:rPr>
        <w:t>U</w:t>
      </w:r>
      <w:r w:rsidR="00AB6940" w:rsidRPr="03D06816">
        <w:rPr>
          <w:rFonts w:ascii="Calibri Light" w:eastAsia="Calibri Light" w:hAnsi="Calibri Light" w:cs="Calibri Light"/>
          <w:sz w:val="22"/>
          <w:szCs w:val="22"/>
          <w:vertAlign w:val="superscript"/>
          <w:lang w:val="en-US"/>
        </w:rPr>
        <w:t>E</w:t>
      </w:r>
      <w:r w:rsidRPr="03D06816">
        <w:rPr>
          <w:rFonts w:eastAsiaTheme="minorEastAsia"/>
          <w:lang w:val="en-US"/>
        </w:rPr>
        <w:t xml:space="preserve"> values shall be considered as 0.</w:t>
      </w:r>
    </w:p>
    <w:p w14:paraId="5D3192BC" w14:textId="1CD99273" w:rsidR="647C72E1" w:rsidRDefault="647C72E1" w:rsidP="03D06816">
      <w:pPr>
        <w:pStyle w:val="maintext"/>
        <w:ind w:firstLine="440"/>
        <w:rPr>
          <w:rFonts w:ascii="Calibri Light" w:eastAsia="Calibri Light" w:hAnsi="Calibri Light" w:cs="Calibri Light"/>
          <w:sz w:val="22"/>
          <w:szCs w:val="22"/>
          <w:lang w:val="en-US"/>
        </w:rPr>
      </w:pPr>
      <w:r w:rsidRPr="03D06816">
        <w:rPr>
          <w:rFonts w:ascii="Calibri Light" w:eastAsia="Calibri Light" w:hAnsi="Calibri Light" w:cs="Calibri Light"/>
          <w:sz w:val="22"/>
          <w:szCs w:val="22"/>
          <w:lang w:val="en-US"/>
        </w:rPr>
        <w:t>N</w:t>
      </w:r>
      <w:r w:rsidRPr="03D06816">
        <w:rPr>
          <w:rFonts w:ascii="Calibri Light" w:eastAsia="Calibri Light" w:hAnsi="Calibri Light" w:cs="Calibri Light"/>
          <w:sz w:val="22"/>
          <w:szCs w:val="22"/>
          <w:vertAlign w:val="subscript"/>
          <w:lang w:val="en-US"/>
        </w:rPr>
        <w:t>TA.adj</w:t>
      </w:r>
      <w:r w:rsidRPr="03D06816">
        <w:rPr>
          <w:rFonts w:ascii="Calibri Light" w:eastAsia="Calibri Light" w:hAnsi="Calibri Light" w:cs="Calibri Light"/>
          <w:sz w:val="22"/>
          <w:szCs w:val="22"/>
          <w:vertAlign w:val="superscript"/>
          <w:lang w:val="en-US"/>
        </w:rPr>
        <w:t>common</w:t>
      </w:r>
      <w:r w:rsidRPr="03D06816">
        <w:rPr>
          <w:rFonts w:ascii="Calibri Light" w:eastAsia="Calibri Light" w:hAnsi="Calibri Light" w:cs="Calibri Light"/>
          <w:sz w:val="22"/>
          <w:szCs w:val="22"/>
          <w:lang w:val="en-US"/>
        </w:rPr>
        <w:t xml:space="preserve"> is Delay</w:t>
      </w:r>
      <w:r w:rsidRPr="03D06816">
        <w:rPr>
          <w:rFonts w:ascii="Calibri Light" w:eastAsia="Calibri Light" w:hAnsi="Calibri Light" w:cs="Calibri Light"/>
          <w:sz w:val="22"/>
          <w:szCs w:val="22"/>
          <w:vertAlign w:val="subscript"/>
          <w:lang w:val="en-US"/>
        </w:rPr>
        <w:t>common</w:t>
      </w:r>
      <w:r w:rsidRPr="03D06816">
        <w:rPr>
          <w:rFonts w:ascii="Calibri Light" w:eastAsia="Calibri Light" w:hAnsi="Calibri Light" w:cs="Calibri Light"/>
          <w:sz w:val="22"/>
          <w:szCs w:val="22"/>
          <w:lang w:val="en-US"/>
        </w:rPr>
        <w:t xml:space="preserve">(t) </w:t>
      </w:r>
      <w:r w:rsidRPr="03D06816">
        <w:rPr>
          <w:rFonts w:eastAsiaTheme="minorEastAsia"/>
          <w:lang w:val="en-US"/>
        </w:rPr>
        <w:t xml:space="preserve">which </w:t>
      </w:r>
      <w:r w:rsidR="262C7842" w:rsidRPr="03D06816">
        <w:rPr>
          <w:rFonts w:eastAsiaTheme="minorEastAsia"/>
          <w:lang w:val="en-US"/>
        </w:rPr>
        <w:t>is derived</w:t>
      </w:r>
      <w:r w:rsidRPr="03D06816">
        <w:rPr>
          <w:rFonts w:eastAsiaTheme="minorEastAsia"/>
          <w:lang w:val="en-US"/>
        </w:rPr>
        <w:t xml:space="preserve"> from the higher-layer parameters </w:t>
      </w:r>
      <w:r w:rsidRPr="03D06816">
        <w:rPr>
          <w:rFonts w:eastAsiaTheme="minorEastAsia"/>
          <w:i/>
          <w:iCs/>
          <w:lang w:val="en-US"/>
        </w:rPr>
        <w:t>ta-Common</w:t>
      </w:r>
      <w:r w:rsidRPr="03D06816">
        <w:rPr>
          <w:rFonts w:eastAsiaTheme="minorEastAsia"/>
          <w:lang w:val="en-US"/>
        </w:rPr>
        <w:t xml:space="preserve">, </w:t>
      </w:r>
      <w:r w:rsidRPr="03D06816">
        <w:rPr>
          <w:rFonts w:eastAsiaTheme="minorEastAsia"/>
          <w:i/>
          <w:iCs/>
          <w:lang w:val="en-US"/>
        </w:rPr>
        <w:t>taCommonDrift</w:t>
      </w:r>
      <w:r w:rsidRPr="03D06816">
        <w:rPr>
          <w:rFonts w:eastAsiaTheme="minorEastAsia"/>
          <w:lang w:val="en-US"/>
        </w:rPr>
        <w:t xml:space="preserve">, and </w:t>
      </w:r>
      <w:r w:rsidRPr="03D06816">
        <w:rPr>
          <w:rFonts w:eastAsiaTheme="minorEastAsia"/>
          <w:i/>
          <w:iCs/>
          <w:lang w:val="en-US"/>
        </w:rPr>
        <w:t>ta-CommonDriftVariant</w:t>
      </w:r>
      <w:r w:rsidRPr="03D06816">
        <w:rPr>
          <w:rFonts w:eastAsiaTheme="minorEastAsia"/>
          <w:lang w:val="en-US"/>
        </w:rPr>
        <w:t xml:space="preserve"> configured in SIB 19, otherwise</w:t>
      </w:r>
      <w:r w:rsidRPr="03D06816">
        <w:rPr>
          <w:rFonts w:ascii="Calibri Light" w:eastAsia="Calibri Light" w:hAnsi="Calibri Light" w:cs="Calibri Light"/>
          <w:sz w:val="22"/>
          <w:szCs w:val="22"/>
          <w:lang w:val="en-US"/>
        </w:rPr>
        <w:t xml:space="preserve"> N</w:t>
      </w:r>
      <w:r w:rsidRPr="03D06816">
        <w:rPr>
          <w:rFonts w:ascii="Calibri Light" w:eastAsia="Calibri Light" w:hAnsi="Calibri Light" w:cs="Calibri Light"/>
          <w:sz w:val="22"/>
          <w:szCs w:val="22"/>
          <w:vertAlign w:val="subscript"/>
          <w:lang w:val="en-US"/>
        </w:rPr>
        <w:t>TA.adj</w:t>
      </w:r>
      <w:r w:rsidRPr="03D06816">
        <w:rPr>
          <w:rFonts w:ascii="Calibri Light" w:eastAsia="Calibri Light" w:hAnsi="Calibri Light" w:cs="Calibri Light"/>
          <w:sz w:val="22"/>
          <w:szCs w:val="22"/>
          <w:vertAlign w:val="superscript"/>
          <w:lang w:val="en-US"/>
        </w:rPr>
        <w:t>common</w:t>
      </w:r>
      <w:r w:rsidRPr="03D06816">
        <w:rPr>
          <w:rFonts w:ascii="Calibri Light" w:eastAsia="Calibri Light" w:hAnsi="Calibri Light" w:cs="Calibri Light"/>
          <w:sz w:val="22"/>
          <w:szCs w:val="22"/>
          <w:lang w:val="en-US"/>
        </w:rPr>
        <w:t xml:space="preserve"> = 0.</w:t>
      </w:r>
    </w:p>
    <w:p w14:paraId="526A070C" w14:textId="5931A736" w:rsidR="647C72E1" w:rsidRDefault="647C72E1" w:rsidP="03D06816">
      <w:pPr>
        <w:pStyle w:val="maintext"/>
        <w:ind w:firstLine="440"/>
        <w:rPr>
          <w:rFonts w:eastAsiaTheme="minorEastAsia"/>
          <w:lang w:val="en-US"/>
        </w:rPr>
      </w:pPr>
      <w:r w:rsidRPr="03D06816">
        <w:rPr>
          <w:rFonts w:ascii="Calibri Light" w:eastAsia="Calibri Light" w:hAnsi="Calibri Light" w:cs="Calibri Light"/>
          <w:sz w:val="22"/>
          <w:szCs w:val="22"/>
          <w:lang w:val="en-US"/>
        </w:rPr>
        <w:t>N</w:t>
      </w:r>
      <w:r w:rsidRPr="03D06816">
        <w:rPr>
          <w:rFonts w:ascii="Calibri Light" w:eastAsia="Calibri Light" w:hAnsi="Calibri Light" w:cs="Calibri Light"/>
          <w:sz w:val="22"/>
          <w:szCs w:val="22"/>
          <w:vertAlign w:val="subscript"/>
          <w:lang w:val="en-US"/>
        </w:rPr>
        <w:t>TA.adj</w:t>
      </w:r>
      <w:r w:rsidRPr="03D06816">
        <w:rPr>
          <w:rFonts w:ascii="Calibri Light" w:eastAsia="Calibri Light" w:hAnsi="Calibri Light" w:cs="Calibri Light"/>
          <w:sz w:val="22"/>
          <w:szCs w:val="22"/>
          <w:vertAlign w:val="superscript"/>
          <w:lang w:val="en-US"/>
        </w:rPr>
        <w:t>UE</w:t>
      </w:r>
      <w:r w:rsidRPr="03D06816">
        <w:rPr>
          <w:rFonts w:ascii="Calibri Light" w:eastAsia="Calibri Light" w:hAnsi="Calibri Light" w:cs="Calibri Light"/>
          <w:sz w:val="22"/>
          <w:szCs w:val="22"/>
          <w:lang w:val="en-US"/>
        </w:rPr>
        <w:t xml:space="preserve"> </w:t>
      </w:r>
      <w:r w:rsidRPr="03D06816">
        <w:rPr>
          <w:rFonts w:eastAsiaTheme="minorEastAsia"/>
          <w:lang w:val="en-US"/>
        </w:rPr>
        <w:t>is computed by the UE based on UE position and serving satellite ephemeris related information provided by higher layer</w:t>
      </w:r>
      <w:r w:rsidR="32A0EBFD" w:rsidRPr="03D06816">
        <w:rPr>
          <w:rFonts w:eastAsiaTheme="minorEastAsia"/>
          <w:lang w:val="en-US"/>
        </w:rPr>
        <w:t xml:space="preserve"> in SIB 19</w:t>
      </w:r>
      <w:r w:rsidRPr="03D06816">
        <w:rPr>
          <w:rFonts w:eastAsiaTheme="minorEastAsia"/>
          <w:lang w:val="en-US"/>
        </w:rPr>
        <w:t>, otherwise</w:t>
      </w:r>
      <w:r w:rsidRPr="03D06816">
        <w:rPr>
          <w:rFonts w:ascii="Calibri Light" w:eastAsia="Calibri Light" w:hAnsi="Calibri Light" w:cs="Calibri Light"/>
          <w:sz w:val="22"/>
          <w:szCs w:val="22"/>
          <w:lang w:val="en-US"/>
        </w:rPr>
        <w:t xml:space="preserve"> N</w:t>
      </w:r>
      <w:r w:rsidRPr="03D06816">
        <w:rPr>
          <w:rFonts w:ascii="Calibri Light" w:eastAsia="Calibri Light" w:hAnsi="Calibri Light" w:cs="Calibri Light"/>
          <w:sz w:val="22"/>
          <w:szCs w:val="22"/>
          <w:vertAlign w:val="subscript"/>
          <w:lang w:val="en-US"/>
        </w:rPr>
        <w:t>TA.adj</w:t>
      </w:r>
      <w:r w:rsidRPr="03D06816">
        <w:rPr>
          <w:rFonts w:ascii="Calibri Light" w:eastAsia="Calibri Light" w:hAnsi="Calibri Light" w:cs="Calibri Light"/>
          <w:sz w:val="22"/>
          <w:szCs w:val="22"/>
          <w:vertAlign w:val="superscript"/>
          <w:lang w:val="en-US"/>
        </w:rPr>
        <w:t xml:space="preserve">UE </w:t>
      </w:r>
      <w:r w:rsidRPr="03D06816">
        <w:rPr>
          <w:rFonts w:ascii="Calibri Light" w:eastAsia="Calibri Light" w:hAnsi="Calibri Light" w:cs="Calibri Light"/>
          <w:sz w:val="22"/>
          <w:szCs w:val="22"/>
          <w:lang w:val="en-US"/>
        </w:rPr>
        <w:t>= 0.</w:t>
      </w:r>
    </w:p>
    <w:p w14:paraId="685D73FC" w14:textId="44F9A4ED" w:rsidR="5E1AE15E" w:rsidRPr="00E471B2" w:rsidRDefault="00E471B2" w:rsidP="00E471B2">
      <w:pPr>
        <w:pStyle w:val="Observation"/>
        <w:rPr>
          <w:rFonts w:ascii="Calibri Light" w:eastAsia="Calibri Light" w:hAnsi="Calibri Light" w:cs="Calibri Light"/>
          <w:sz w:val="22"/>
          <w:szCs w:val="22"/>
        </w:rPr>
      </w:pPr>
      <w:r>
        <w:rPr>
          <w:rFonts w:eastAsiaTheme="minorEastAsia"/>
        </w:rPr>
        <w:t xml:space="preserve"> </w:t>
      </w:r>
      <w:r w:rsidR="2BBAC673" w:rsidRPr="7BBFE076">
        <w:rPr>
          <w:rFonts w:eastAsiaTheme="minorEastAsia"/>
        </w:rPr>
        <w:t>In 5G NR</w:t>
      </w:r>
      <w:r>
        <w:rPr>
          <w:rFonts w:eastAsiaTheme="minorEastAsia"/>
        </w:rPr>
        <w:t xml:space="preserve">, </w:t>
      </w:r>
      <w:r w:rsidR="2BBAC673" w:rsidRPr="7BBFE076">
        <w:rPr>
          <w:rFonts w:eastAsiaTheme="minorEastAsia"/>
        </w:rPr>
        <w:t>NTN</w:t>
      </w:r>
      <w:r w:rsidR="2BBAC673" w:rsidRPr="7BBFE076">
        <w:rPr>
          <w:rFonts w:eastAsia="Calibri"/>
        </w:rPr>
        <w:t xml:space="preserve"> specification adopts a unified TA design that supports both </w:t>
      </w:r>
      <w:r>
        <w:rPr>
          <w:rFonts w:eastAsia="Calibri"/>
        </w:rPr>
        <w:t>TN and NTN</w:t>
      </w:r>
      <w:r w:rsidR="2BBAC673" w:rsidRPr="7BBFE076">
        <w:rPr>
          <w:rFonts w:eastAsia="Calibri"/>
        </w:rPr>
        <w:t xml:space="preserve"> operation, ensuring compatibility while allowing for extended TA values to compensate for large signal propagation delays inherent to satellite links</w:t>
      </w:r>
      <w:r w:rsidR="75ED4A97" w:rsidRPr="7BBFE076">
        <w:rPr>
          <w:rFonts w:eastAsia="Calibri"/>
        </w:rPr>
        <w:t>.</w:t>
      </w:r>
    </w:p>
    <w:p w14:paraId="2A651A5D" w14:textId="26FC8094" w:rsidR="00E471B2" w:rsidRDefault="00E471B2" w:rsidP="00E471B2">
      <w:pPr>
        <w:pStyle w:val="Proposal"/>
        <w:rPr>
          <w:rFonts w:eastAsia="Calibri Light"/>
        </w:rPr>
      </w:pPr>
      <w:r>
        <w:rPr>
          <w:rFonts w:eastAsia="Calibri Light"/>
        </w:rPr>
        <w:t xml:space="preserve"> </w:t>
      </w:r>
      <w:r w:rsidR="007118D0" w:rsidRPr="007118D0">
        <w:rPr>
          <w:rFonts w:eastAsia="Calibri Light"/>
        </w:rPr>
        <w:t xml:space="preserve">In 6GR design, RAN2 shall explore unified design for TN and NTN for timing advance computation and also RAN 2 shall study on extension of </w:t>
      </w:r>
      <m:oMath>
        <m:sSub>
          <m:sSubPr>
            <m:ctrlPr>
              <w:rPr>
                <w:rFonts w:ascii="Cambria Math" w:eastAsia="Calibri Light" w:hAnsi="Cambria Math"/>
                <w:i/>
              </w:rPr>
            </m:ctrlPr>
          </m:sSubPr>
          <m:e>
            <m:r>
              <m:rPr>
                <m:sty m:val="bi"/>
              </m:rPr>
              <w:rPr>
                <w:rFonts w:ascii="Cambria Math" w:eastAsia="Calibri Light" w:hAnsi="Cambria Math"/>
              </w:rPr>
              <m:t>N</m:t>
            </m:r>
          </m:e>
          <m:sub>
            <m:r>
              <m:rPr>
                <m:sty m:val="bi"/>
              </m:rPr>
              <w:rPr>
                <w:rFonts w:ascii="Cambria Math" w:eastAsia="Calibri Light" w:hAnsi="Cambria Math"/>
              </w:rPr>
              <m:t>TA</m:t>
            </m:r>
          </m:sub>
        </m:sSub>
      </m:oMath>
      <w:r w:rsidR="00A975A4">
        <w:rPr>
          <w:rFonts w:eastAsia="Calibri Light"/>
        </w:rPr>
        <w:t xml:space="preserve"> </w:t>
      </w:r>
      <w:r w:rsidR="007118D0" w:rsidRPr="007118D0">
        <w:rPr>
          <w:rFonts w:eastAsia="Calibri Light"/>
        </w:rPr>
        <w:t>value limit.</w:t>
      </w:r>
    </w:p>
    <w:p w14:paraId="779B5D18" w14:textId="04BED7C2" w:rsidR="00C339B0" w:rsidRDefault="00C339B0" w:rsidP="00C339B0">
      <w:pPr>
        <w:pStyle w:val="Heading1"/>
        <w:rPr>
          <w:lang w:val="en-US"/>
        </w:rPr>
      </w:pPr>
      <w:r w:rsidRPr="7BBFE076">
        <w:rPr>
          <w:lang w:val="en-US"/>
        </w:rPr>
        <w:lastRenderedPageBreak/>
        <w:t>Conclusion</w:t>
      </w:r>
    </w:p>
    <w:bookmarkEnd w:id="2"/>
    <w:p w14:paraId="33CDD9EA" w14:textId="6E9DE255" w:rsidR="00FA7C06" w:rsidRPr="00A975A4" w:rsidRDefault="00A975A4" w:rsidP="03D06816">
      <w:pPr>
        <w:rPr>
          <w:b/>
          <w:bCs/>
          <w:lang w:val="en-US"/>
        </w:rPr>
      </w:pPr>
      <w:r w:rsidRPr="03D06816">
        <w:rPr>
          <w:b/>
          <w:bCs/>
          <w:lang w:val="en-US"/>
        </w:rPr>
        <w:t>Observation 1:</w:t>
      </w:r>
      <w:r>
        <w:tab/>
      </w:r>
      <w:r w:rsidRPr="03D06816">
        <w:rPr>
          <w:b/>
          <w:bCs/>
          <w:lang w:val="en-US"/>
        </w:rPr>
        <w:t xml:space="preserve"> Both SIB19 and SIB25 serve complementary NTN-related purposes, supporting satellite access assistance and TN–NTN mobility functions.</w:t>
      </w:r>
    </w:p>
    <w:p w14:paraId="1CFC1410" w14:textId="41A429BD" w:rsidR="00A975A4" w:rsidRPr="00A975A4" w:rsidRDefault="00A975A4" w:rsidP="00A975A4">
      <w:pPr>
        <w:rPr>
          <w:b/>
          <w:bCs/>
        </w:rPr>
      </w:pPr>
      <w:r w:rsidRPr="03D06816">
        <w:rPr>
          <w:b/>
          <w:bCs/>
        </w:rPr>
        <w:t>Proposal 1:</w:t>
      </w:r>
      <w:r>
        <w:tab/>
      </w:r>
      <w:r w:rsidRPr="03D06816">
        <w:rPr>
          <w:b/>
          <w:bCs/>
        </w:rPr>
        <w:t xml:space="preserve"> RAN2 should study integrating the SIB25 information elements into SIB19 as optional fields when broadcast by an TN cell, to support a unified system information design for TN/NTN operation.</w:t>
      </w:r>
    </w:p>
    <w:p w14:paraId="37823EC2" w14:textId="3E2A2A31" w:rsidR="00A975A4" w:rsidRPr="00A975A4" w:rsidRDefault="00A975A4" w:rsidP="00A975A4">
      <w:pPr>
        <w:rPr>
          <w:b/>
          <w:bCs/>
        </w:rPr>
      </w:pPr>
      <w:r w:rsidRPr="00A975A4">
        <w:rPr>
          <w:b/>
          <w:bCs/>
        </w:rPr>
        <w:t>Observation 2:</w:t>
      </w:r>
      <w:r w:rsidRPr="00A975A4">
        <w:rPr>
          <w:b/>
          <w:bCs/>
        </w:rPr>
        <w:tab/>
        <w:t xml:space="preserve"> In 5G NTN, the specification increases the number of downlink and uplink HARQ processes up to 32 and introduces an option to disable downlink HARQ feedback to prevent HARQ stalling under large RTT conditions.</w:t>
      </w:r>
    </w:p>
    <w:p w14:paraId="4FD9C251" w14:textId="77777777" w:rsidR="00A975A4" w:rsidRPr="00A975A4" w:rsidRDefault="00A975A4" w:rsidP="00A975A4">
      <w:pPr>
        <w:rPr>
          <w:b/>
          <w:bCs/>
        </w:rPr>
      </w:pPr>
      <w:r w:rsidRPr="00A975A4">
        <w:rPr>
          <w:b/>
          <w:bCs/>
        </w:rPr>
        <w:t>Proposal 2:</w:t>
      </w:r>
      <w:r w:rsidRPr="00A975A4">
        <w:rPr>
          <w:b/>
          <w:bCs/>
        </w:rPr>
        <w:tab/>
        <w:t xml:space="preserve"> During 6GR design, RAN2 shall study a unified HARQ design that can mitigate HARQ process stalling caused by large RTTs in NTN scenarios.</w:t>
      </w:r>
    </w:p>
    <w:p w14:paraId="36D58CA4" w14:textId="70008BF1" w:rsidR="00A975A4" w:rsidRPr="00A975A4" w:rsidRDefault="00A975A4" w:rsidP="00A975A4">
      <w:pPr>
        <w:rPr>
          <w:b/>
          <w:bCs/>
        </w:rPr>
      </w:pPr>
      <w:r w:rsidRPr="00A975A4">
        <w:rPr>
          <w:b/>
          <w:bCs/>
        </w:rPr>
        <w:t>Proposal 3:</w:t>
      </w:r>
      <w:r w:rsidRPr="00A975A4">
        <w:rPr>
          <w:b/>
          <w:bCs/>
        </w:rPr>
        <w:tab/>
        <w:t xml:space="preserve"> During 6GR design, RAN2 shall consider inclusion of the downlink HARQ feedback disable functionality from the initial design phase (“day 1”).</w:t>
      </w:r>
    </w:p>
    <w:p w14:paraId="482A92B5" w14:textId="77777777" w:rsidR="00A975A4" w:rsidRPr="00A975A4" w:rsidRDefault="00A975A4" w:rsidP="00A975A4">
      <w:pPr>
        <w:rPr>
          <w:b/>
          <w:bCs/>
        </w:rPr>
      </w:pPr>
      <w:r w:rsidRPr="00A975A4">
        <w:rPr>
          <w:b/>
          <w:bCs/>
        </w:rPr>
        <w:t>Observation 3:</w:t>
      </w:r>
      <w:r w:rsidRPr="00A975A4">
        <w:rPr>
          <w:b/>
          <w:bCs/>
        </w:rPr>
        <w:tab/>
        <w:t xml:space="preserve"> In 5G NR-NTN, 3GPP introduced location-based measurement events (Event D1 and Event D2) and time-based conditional events (Conditional Event T1) to enhance mobility support under fast-moving satellite conditions.</w:t>
      </w:r>
    </w:p>
    <w:p w14:paraId="2D270ED7" w14:textId="244AFE93" w:rsidR="00A975A4" w:rsidRPr="00A975A4" w:rsidRDefault="00A975A4" w:rsidP="00A975A4">
      <w:pPr>
        <w:rPr>
          <w:b/>
          <w:bCs/>
        </w:rPr>
      </w:pPr>
      <w:r w:rsidRPr="00A975A4">
        <w:rPr>
          <w:b/>
          <w:bCs/>
        </w:rPr>
        <w:t>Proposal 4:</w:t>
      </w:r>
      <w:r w:rsidRPr="00A975A4">
        <w:rPr>
          <w:b/>
          <w:bCs/>
        </w:rPr>
        <w:tab/>
        <w:t xml:space="preserve"> In 6GR design, RAN 2 shall consider location-based measurement events (Event D1 and Event D2) and time-based conditional events (Conditional Event T1) as baseline NTN specific functionality for NTN mobility.</w:t>
      </w:r>
    </w:p>
    <w:p w14:paraId="20AC1580" w14:textId="7DCD4C46" w:rsidR="00A975A4" w:rsidRPr="00A975A4" w:rsidRDefault="00A975A4" w:rsidP="00A975A4">
      <w:pPr>
        <w:rPr>
          <w:b/>
          <w:bCs/>
        </w:rPr>
      </w:pPr>
      <w:r w:rsidRPr="00A975A4">
        <w:rPr>
          <w:b/>
          <w:bCs/>
        </w:rPr>
        <w:t>Observation 4:</w:t>
      </w:r>
      <w:r w:rsidRPr="00A975A4">
        <w:rPr>
          <w:b/>
          <w:bCs/>
        </w:rPr>
        <w:tab/>
        <w:t xml:space="preserve"> In 5G NR, NTN specification adopts a unified TA design that supports both TN and NTN operation, ensuring compatibility while allowing for extended TA values to compensate for large signal propagation delays inherent to satellite links.</w:t>
      </w:r>
    </w:p>
    <w:p w14:paraId="55901441" w14:textId="2E581DB0" w:rsidR="00A975A4" w:rsidRPr="00A975A4" w:rsidRDefault="00A975A4" w:rsidP="00A975A4">
      <w:pPr>
        <w:rPr>
          <w:b/>
          <w:bCs/>
        </w:rPr>
      </w:pPr>
      <w:r w:rsidRPr="00A975A4">
        <w:rPr>
          <w:b/>
          <w:bCs/>
        </w:rPr>
        <w:t xml:space="preserve">Proposal 5: In 6GR design, RAN2 shall explore unified design for TN and NTN for timing advance computation and also RAN 2 shall study on extension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TA</m:t>
            </m:r>
          </m:sub>
        </m:sSub>
      </m:oMath>
      <w:r w:rsidRPr="00A975A4">
        <w:rPr>
          <w:b/>
          <w:bCs/>
        </w:rPr>
        <w:t xml:space="preserve"> value limit.</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59423C4C" w14:textId="54F85E5E" w:rsidR="00FD687D" w:rsidRPr="00556DF8" w:rsidRDefault="007D204D" w:rsidP="00BB6B61">
      <w:pPr>
        <w:pStyle w:val="Reference"/>
        <w:rPr>
          <w:lang w:val="en-US"/>
        </w:rPr>
      </w:pPr>
      <w:r w:rsidRPr="00556DF8">
        <w:rPr>
          <w:lang w:val="en-US"/>
        </w:rPr>
        <w:t>RP-252912</w:t>
      </w:r>
      <w:r w:rsidR="00FD687D" w:rsidRPr="00556DF8">
        <w:rPr>
          <w:lang w:val="en-US"/>
        </w:rPr>
        <w:t xml:space="preserve">: </w:t>
      </w:r>
      <w:r w:rsidR="0008509E">
        <w:rPr>
          <w:lang w:val="en-US"/>
        </w:rPr>
        <w:t>“</w:t>
      </w:r>
      <w:r w:rsidR="003702FC" w:rsidRPr="00556DF8">
        <w:rPr>
          <w:lang w:val="en-US"/>
        </w:rPr>
        <w:t>Revised SID: Study on 6G Radio”</w:t>
      </w:r>
      <w:r w:rsidR="00556DF8">
        <w:rPr>
          <w:lang w:val="en-US"/>
        </w:rPr>
        <w:t xml:space="preserve">, </w:t>
      </w:r>
      <w:r w:rsidR="00556DF8" w:rsidRPr="00556DF8">
        <w:rPr>
          <w:lang w:val="en-US"/>
        </w:rPr>
        <w:t>NTT DOCOMO, CMCC, AT&amp;T, Vodafone</w:t>
      </w:r>
    </w:p>
    <w:p w14:paraId="32244B4A" w14:textId="6CC05B4B" w:rsidR="00FD0C3B" w:rsidRPr="0008509E" w:rsidRDefault="0008509E" w:rsidP="00BB6B61">
      <w:pPr>
        <w:pStyle w:val="Reference"/>
        <w:rPr>
          <w:lang w:val="en-US"/>
        </w:rPr>
      </w:pPr>
      <w:r w:rsidRPr="0008509E">
        <w:rPr>
          <w:lang w:val="en-US"/>
        </w:rPr>
        <w:t xml:space="preserve">3GPP </w:t>
      </w:r>
      <w:r w:rsidR="00782FB9" w:rsidRPr="0008509E">
        <w:rPr>
          <w:lang w:val="en-US"/>
        </w:rPr>
        <w:t>TR 38.821</w:t>
      </w:r>
      <w:r w:rsidRPr="0008509E">
        <w:rPr>
          <w:lang w:val="en-US"/>
        </w:rPr>
        <w:t xml:space="preserve">: </w:t>
      </w:r>
      <w:r>
        <w:rPr>
          <w:lang w:val="en-US"/>
        </w:rPr>
        <w:t>“</w:t>
      </w:r>
      <w:r w:rsidRPr="0008509E">
        <w:rPr>
          <w:lang w:val="en-US"/>
        </w:rPr>
        <w:t>Solutions for NR to support non-terrestrial networks (NTN)</w:t>
      </w:r>
      <w:r>
        <w:rPr>
          <w:lang w:val="en-US"/>
        </w:rPr>
        <w:t>”</w:t>
      </w:r>
    </w:p>
    <w:p w14:paraId="5A91D098" w14:textId="0462EE97" w:rsidR="00782FB9" w:rsidRPr="00595EEE" w:rsidRDefault="00C839F9" w:rsidP="00BB6B61">
      <w:pPr>
        <w:pStyle w:val="Reference"/>
        <w:rPr>
          <w:lang w:val="en-US"/>
        </w:rPr>
      </w:pPr>
      <w:r>
        <w:rPr>
          <w:lang w:val="en-US"/>
        </w:rPr>
        <w:t xml:space="preserve">3GPP </w:t>
      </w:r>
      <w:r w:rsidR="00782FB9" w:rsidRPr="00595EEE">
        <w:rPr>
          <w:lang w:val="en-US"/>
        </w:rPr>
        <w:t>TR 38.811</w:t>
      </w:r>
      <w:r w:rsidR="00595EEE" w:rsidRPr="00595EEE">
        <w:rPr>
          <w:lang w:val="en-US"/>
        </w:rPr>
        <w:t xml:space="preserve">: </w:t>
      </w:r>
      <w:r>
        <w:rPr>
          <w:lang w:val="en-US"/>
        </w:rPr>
        <w:t>“</w:t>
      </w:r>
      <w:r w:rsidRPr="00C839F9">
        <w:rPr>
          <w:lang w:val="en-US"/>
        </w:rPr>
        <w:t>Study on New Radio (NR) to support non-terrestrial network</w:t>
      </w:r>
      <w:r>
        <w:rPr>
          <w:lang w:val="en-US"/>
        </w:rPr>
        <w:t>”</w:t>
      </w:r>
    </w:p>
    <w:p w14:paraId="4B683BBA" w14:textId="62C59123" w:rsidR="00930384" w:rsidRPr="00930384" w:rsidRDefault="00930384" w:rsidP="00930384">
      <w:pPr>
        <w:pStyle w:val="Reference"/>
        <w:rPr>
          <w:lang w:val="en-US"/>
        </w:rPr>
      </w:pPr>
      <w:r w:rsidRPr="00930384">
        <w:rPr>
          <w:lang w:val="en-US"/>
        </w:rPr>
        <w:t xml:space="preserve">3GPP TS 38.331: </w:t>
      </w:r>
      <w:r w:rsidR="007C21E1">
        <w:rPr>
          <w:lang w:val="en-US"/>
        </w:rPr>
        <w:t>“</w:t>
      </w:r>
      <w:r w:rsidRPr="00930384">
        <w:rPr>
          <w:lang w:val="en-US"/>
        </w:rPr>
        <w:t>NR; Radio Resource Control (RRC); Protocol specification</w:t>
      </w:r>
      <w:r w:rsidR="007C21E1">
        <w:rPr>
          <w:lang w:val="en-US"/>
        </w:rPr>
        <w:t>”</w:t>
      </w:r>
      <w:r w:rsidRPr="00930384">
        <w:rPr>
          <w:lang w:val="en-US"/>
        </w:rPr>
        <w:t>.</w:t>
      </w:r>
    </w:p>
    <w:p w14:paraId="29EA54E5" w14:textId="762218A8" w:rsidR="70ECF33C" w:rsidRPr="007C21E1" w:rsidRDefault="007C21E1" w:rsidP="7BBFE076">
      <w:pPr>
        <w:pStyle w:val="Reference"/>
        <w:rPr>
          <w:lang w:val="en-US"/>
        </w:rPr>
      </w:pPr>
      <w:r w:rsidRPr="007C21E1">
        <w:rPr>
          <w:lang w:val="en-US"/>
        </w:rPr>
        <w:t xml:space="preserve">3GPP </w:t>
      </w:r>
      <w:r w:rsidR="70ECF33C" w:rsidRPr="007C21E1">
        <w:rPr>
          <w:lang w:val="en-US"/>
        </w:rPr>
        <w:t>TS 38.321</w:t>
      </w:r>
      <w:r w:rsidRPr="007C21E1">
        <w:rPr>
          <w:lang w:val="en-US"/>
        </w:rPr>
        <w:t xml:space="preserve">: </w:t>
      </w:r>
      <w:r>
        <w:rPr>
          <w:lang w:val="en-US"/>
        </w:rPr>
        <w:t>“</w:t>
      </w:r>
      <w:r w:rsidRPr="007C21E1">
        <w:rPr>
          <w:lang w:val="en-US"/>
        </w:rPr>
        <w:t>Medium Access Control (MAC) protocol specification</w:t>
      </w:r>
      <w:r>
        <w:rPr>
          <w:lang w:val="en-US"/>
        </w:rPr>
        <w:t>”</w:t>
      </w:r>
    </w:p>
    <w:p w14:paraId="6F6A28AD" w14:textId="2C9A5B02" w:rsidR="7BBFE076" w:rsidRPr="007C21E1" w:rsidRDefault="7BBFE076" w:rsidP="7BBFE076">
      <w:pPr>
        <w:pStyle w:val="Reference"/>
        <w:numPr>
          <w:ilvl w:val="0"/>
          <w:numId w:val="0"/>
        </w:numPr>
        <w:ind w:left="567"/>
        <w:rPr>
          <w:lang w:val="en-US"/>
        </w:rPr>
      </w:pPr>
    </w:p>
    <w:p w14:paraId="6B429F75" w14:textId="21789E22" w:rsidR="00324792" w:rsidRPr="007C21E1" w:rsidRDefault="00324792" w:rsidP="7BBFE076">
      <w:pPr>
        <w:pStyle w:val="Reference"/>
        <w:numPr>
          <w:ilvl w:val="0"/>
          <w:numId w:val="0"/>
        </w:numPr>
        <w:ind w:left="567"/>
        <w:rPr>
          <w:lang w:val="en-US"/>
        </w:rPr>
      </w:pPr>
    </w:p>
    <w:p w14:paraId="734FF96A" w14:textId="4B23F429" w:rsidR="00892FD0" w:rsidRPr="00B001CD" w:rsidRDefault="00892FD0" w:rsidP="003E32D2">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85F49" w14:textId="77777777" w:rsidR="00C70B74" w:rsidRDefault="00C70B74">
      <w:r>
        <w:separator/>
      </w:r>
    </w:p>
  </w:endnote>
  <w:endnote w:type="continuationSeparator" w:id="0">
    <w:p w14:paraId="14A731A4" w14:textId="77777777" w:rsidR="00C70B74" w:rsidRDefault="00C70B74">
      <w:r>
        <w:continuationSeparator/>
      </w:r>
    </w:p>
  </w:endnote>
  <w:endnote w:type="continuationNotice" w:id="1">
    <w:p w14:paraId="35489240" w14:textId="77777777" w:rsidR="00C70B74" w:rsidRDefault="00C70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42E77" w14:textId="77777777" w:rsidR="00C70B74" w:rsidRDefault="00C70B74">
      <w:r>
        <w:separator/>
      </w:r>
    </w:p>
  </w:footnote>
  <w:footnote w:type="continuationSeparator" w:id="0">
    <w:p w14:paraId="5A0FAF69" w14:textId="77777777" w:rsidR="00C70B74" w:rsidRDefault="00C70B74">
      <w:r>
        <w:continuationSeparator/>
      </w:r>
    </w:p>
  </w:footnote>
  <w:footnote w:type="continuationNotice" w:id="1">
    <w:p w14:paraId="0DCB65FF" w14:textId="77777777" w:rsidR="00C70B74" w:rsidRDefault="00C70B74">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gtUNkELeyxdYlJ" int2:id="QFfu9uno">
      <int2:state int2:value="Rejected" int2:type="spell"/>
    </int2:textHash>
    <int2:textHash int2:hashCode="Zgz/whtmHkx5hL" int2:id="WuQZoB7P">
      <int2:state int2:value="Rejected" int2:type="spell"/>
    </int2:textHash>
    <int2:textHash int2:hashCode="44Kx3tN9JmlM12" int2:id="gdmbecBq">
      <int2:state int2:value="Rejected" int2:type="spell"/>
    </int2:textHash>
    <int2:bookmark int2:bookmarkName="_Int_FJTh7BaY" int2:invalidationBookmarkName="" int2:hashCode="JswyF75kDoIgES" int2:id="4eQk8ots">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E12537"/>
    <w:multiLevelType w:val="hybridMultilevel"/>
    <w:tmpl w:val="FFFFFFFF"/>
    <w:lvl w:ilvl="0" w:tplc="973AFCEC">
      <w:start w:val="1"/>
      <w:numFmt w:val="bullet"/>
      <w:lvlText w:val=""/>
      <w:lvlJc w:val="left"/>
      <w:pPr>
        <w:ind w:left="720" w:hanging="360"/>
      </w:pPr>
      <w:rPr>
        <w:rFonts w:ascii="Symbol" w:hAnsi="Symbol" w:hint="default"/>
      </w:rPr>
    </w:lvl>
    <w:lvl w:ilvl="1" w:tplc="B1D258E8">
      <w:start w:val="1"/>
      <w:numFmt w:val="bullet"/>
      <w:lvlText w:val="o"/>
      <w:lvlJc w:val="left"/>
      <w:pPr>
        <w:ind w:left="1440" w:hanging="360"/>
      </w:pPr>
      <w:rPr>
        <w:rFonts w:ascii="Courier New" w:hAnsi="Courier New" w:hint="default"/>
      </w:rPr>
    </w:lvl>
    <w:lvl w:ilvl="2" w:tplc="43C66870">
      <w:start w:val="1"/>
      <w:numFmt w:val="bullet"/>
      <w:lvlText w:val=""/>
      <w:lvlJc w:val="left"/>
      <w:pPr>
        <w:ind w:left="2160" w:hanging="360"/>
      </w:pPr>
      <w:rPr>
        <w:rFonts w:ascii="Wingdings" w:hAnsi="Wingdings" w:hint="default"/>
      </w:rPr>
    </w:lvl>
    <w:lvl w:ilvl="3" w:tplc="007E4F82">
      <w:start w:val="1"/>
      <w:numFmt w:val="bullet"/>
      <w:lvlText w:val=""/>
      <w:lvlJc w:val="left"/>
      <w:pPr>
        <w:ind w:left="2880" w:hanging="360"/>
      </w:pPr>
      <w:rPr>
        <w:rFonts w:ascii="Symbol" w:hAnsi="Symbol" w:hint="default"/>
      </w:rPr>
    </w:lvl>
    <w:lvl w:ilvl="4" w:tplc="8D5CA22A">
      <w:start w:val="1"/>
      <w:numFmt w:val="bullet"/>
      <w:lvlText w:val="o"/>
      <w:lvlJc w:val="left"/>
      <w:pPr>
        <w:ind w:left="3600" w:hanging="360"/>
      </w:pPr>
      <w:rPr>
        <w:rFonts w:ascii="Courier New" w:hAnsi="Courier New" w:hint="default"/>
      </w:rPr>
    </w:lvl>
    <w:lvl w:ilvl="5" w:tplc="CDACDFA6">
      <w:start w:val="1"/>
      <w:numFmt w:val="bullet"/>
      <w:lvlText w:val=""/>
      <w:lvlJc w:val="left"/>
      <w:pPr>
        <w:ind w:left="4320" w:hanging="360"/>
      </w:pPr>
      <w:rPr>
        <w:rFonts w:ascii="Wingdings" w:hAnsi="Wingdings" w:hint="default"/>
      </w:rPr>
    </w:lvl>
    <w:lvl w:ilvl="6" w:tplc="801410B8">
      <w:start w:val="1"/>
      <w:numFmt w:val="bullet"/>
      <w:lvlText w:val=""/>
      <w:lvlJc w:val="left"/>
      <w:pPr>
        <w:ind w:left="5040" w:hanging="360"/>
      </w:pPr>
      <w:rPr>
        <w:rFonts w:ascii="Symbol" w:hAnsi="Symbol" w:hint="default"/>
      </w:rPr>
    </w:lvl>
    <w:lvl w:ilvl="7" w:tplc="A4AE1994">
      <w:start w:val="1"/>
      <w:numFmt w:val="bullet"/>
      <w:lvlText w:val="o"/>
      <w:lvlJc w:val="left"/>
      <w:pPr>
        <w:ind w:left="5760" w:hanging="360"/>
      </w:pPr>
      <w:rPr>
        <w:rFonts w:ascii="Courier New" w:hAnsi="Courier New" w:hint="default"/>
      </w:rPr>
    </w:lvl>
    <w:lvl w:ilvl="8" w:tplc="C0C24EFA">
      <w:start w:val="1"/>
      <w:numFmt w:val="bullet"/>
      <w:lvlText w:val=""/>
      <w:lvlJc w:val="left"/>
      <w:pPr>
        <w:ind w:left="6480" w:hanging="360"/>
      </w:pPr>
      <w:rPr>
        <w:rFonts w:ascii="Wingdings" w:hAnsi="Wingding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38562B"/>
    <w:multiLevelType w:val="hybridMultilevel"/>
    <w:tmpl w:val="FFFFFFFF"/>
    <w:lvl w:ilvl="0" w:tplc="8192394A">
      <w:start w:val="1"/>
      <w:numFmt w:val="bullet"/>
      <w:lvlText w:val=""/>
      <w:lvlJc w:val="left"/>
      <w:pPr>
        <w:ind w:left="720" w:hanging="360"/>
      </w:pPr>
      <w:rPr>
        <w:rFonts w:ascii="Symbol" w:hAnsi="Symbol" w:hint="default"/>
      </w:rPr>
    </w:lvl>
    <w:lvl w:ilvl="1" w:tplc="39F61A7C">
      <w:start w:val="1"/>
      <w:numFmt w:val="bullet"/>
      <w:lvlText w:val="o"/>
      <w:lvlJc w:val="left"/>
      <w:pPr>
        <w:ind w:left="1440" w:hanging="360"/>
      </w:pPr>
      <w:rPr>
        <w:rFonts w:ascii="Courier New" w:hAnsi="Courier New" w:hint="default"/>
      </w:rPr>
    </w:lvl>
    <w:lvl w:ilvl="2" w:tplc="479CB85A">
      <w:start w:val="1"/>
      <w:numFmt w:val="bullet"/>
      <w:lvlText w:val=""/>
      <w:lvlJc w:val="left"/>
      <w:pPr>
        <w:ind w:left="2160" w:hanging="360"/>
      </w:pPr>
      <w:rPr>
        <w:rFonts w:ascii="Wingdings" w:hAnsi="Wingdings" w:hint="default"/>
      </w:rPr>
    </w:lvl>
    <w:lvl w:ilvl="3" w:tplc="F8AEE0B8">
      <w:start w:val="1"/>
      <w:numFmt w:val="bullet"/>
      <w:lvlText w:val=""/>
      <w:lvlJc w:val="left"/>
      <w:pPr>
        <w:ind w:left="2880" w:hanging="360"/>
      </w:pPr>
      <w:rPr>
        <w:rFonts w:ascii="Symbol" w:hAnsi="Symbol" w:hint="default"/>
      </w:rPr>
    </w:lvl>
    <w:lvl w:ilvl="4" w:tplc="88A8FF2C">
      <w:start w:val="1"/>
      <w:numFmt w:val="bullet"/>
      <w:lvlText w:val="o"/>
      <w:lvlJc w:val="left"/>
      <w:pPr>
        <w:ind w:left="3600" w:hanging="360"/>
      </w:pPr>
      <w:rPr>
        <w:rFonts w:ascii="Courier New" w:hAnsi="Courier New" w:hint="default"/>
      </w:rPr>
    </w:lvl>
    <w:lvl w:ilvl="5" w:tplc="E5FA6E06">
      <w:start w:val="1"/>
      <w:numFmt w:val="bullet"/>
      <w:lvlText w:val=""/>
      <w:lvlJc w:val="left"/>
      <w:pPr>
        <w:ind w:left="4320" w:hanging="360"/>
      </w:pPr>
      <w:rPr>
        <w:rFonts w:ascii="Wingdings" w:hAnsi="Wingdings" w:hint="default"/>
      </w:rPr>
    </w:lvl>
    <w:lvl w:ilvl="6" w:tplc="7E027F00">
      <w:start w:val="1"/>
      <w:numFmt w:val="bullet"/>
      <w:lvlText w:val=""/>
      <w:lvlJc w:val="left"/>
      <w:pPr>
        <w:ind w:left="5040" w:hanging="360"/>
      </w:pPr>
      <w:rPr>
        <w:rFonts w:ascii="Symbol" w:hAnsi="Symbol" w:hint="default"/>
      </w:rPr>
    </w:lvl>
    <w:lvl w:ilvl="7" w:tplc="8A903EC6">
      <w:start w:val="1"/>
      <w:numFmt w:val="bullet"/>
      <w:lvlText w:val="o"/>
      <w:lvlJc w:val="left"/>
      <w:pPr>
        <w:ind w:left="5760" w:hanging="360"/>
      </w:pPr>
      <w:rPr>
        <w:rFonts w:ascii="Courier New" w:hAnsi="Courier New" w:hint="default"/>
      </w:rPr>
    </w:lvl>
    <w:lvl w:ilvl="8" w:tplc="C6AC573A">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0B260C5"/>
    <w:multiLevelType w:val="hybridMultilevel"/>
    <w:tmpl w:val="94A0563E"/>
    <w:lvl w:ilvl="0" w:tplc="E3AE4780">
      <w:start w:val="1"/>
      <w:numFmt w:val="decimal"/>
      <w:pStyle w:val="Observation"/>
      <w:lvlText w:val="Observation %1:"/>
      <w:lvlJc w:val="left"/>
      <w:pPr>
        <w:ind w:left="720" w:hanging="360"/>
      </w:pPr>
      <w:rPr>
        <w:rFonts w:asciiTheme="minorHAnsi" w:hAnsiTheme="minorHAnsi" w:cstheme="minorHAnsi" w:hint="default"/>
        <w:sz w:val="24"/>
        <w:szCs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7FE4D7C4"/>
    <w:lvl w:ilvl="0" w:tplc="098218E2">
      <w:start w:val="1"/>
      <w:numFmt w:val="decimal"/>
      <w:pStyle w:val="Proposal"/>
      <w:lvlText w:val="Proposal %1:"/>
      <w:lvlJc w:val="left"/>
      <w:pPr>
        <w:ind w:left="360" w:hanging="360"/>
      </w:pPr>
      <w:rPr>
        <w:rFonts w:hint="default"/>
        <w:b/>
        <w:bCs/>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7751471"/>
    <w:multiLevelType w:val="hybridMultilevel"/>
    <w:tmpl w:val="E230C860"/>
    <w:lvl w:ilvl="0" w:tplc="8334D358">
      <w:start w:val="1"/>
      <w:numFmt w:val="decimal"/>
      <w:lvlText w:val="(%1)"/>
      <w:lvlJc w:val="left"/>
      <w:pPr>
        <w:ind w:left="720" w:hanging="360"/>
      </w:pPr>
      <w:rPr>
        <w:rFonts w:ascii="Arial" w:eastAsia="Malgun Gothic" w:hAnsi="Arial" w:cs="Aria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88C2BDA"/>
    <w:multiLevelType w:val="hybridMultilevel"/>
    <w:tmpl w:val="FFFFFFFF"/>
    <w:lvl w:ilvl="0" w:tplc="19D213BC">
      <w:start w:val="1"/>
      <w:numFmt w:val="bullet"/>
      <w:lvlText w:val=""/>
      <w:lvlJc w:val="left"/>
      <w:pPr>
        <w:ind w:left="720" w:hanging="360"/>
      </w:pPr>
      <w:rPr>
        <w:rFonts w:ascii="Symbol" w:hAnsi="Symbol" w:hint="default"/>
      </w:rPr>
    </w:lvl>
    <w:lvl w:ilvl="1" w:tplc="94DC542C">
      <w:start w:val="1"/>
      <w:numFmt w:val="bullet"/>
      <w:lvlText w:val="o"/>
      <w:lvlJc w:val="left"/>
      <w:pPr>
        <w:ind w:left="1440" w:hanging="360"/>
      </w:pPr>
      <w:rPr>
        <w:rFonts w:ascii="Courier New" w:hAnsi="Courier New" w:hint="default"/>
      </w:rPr>
    </w:lvl>
    <w:lvl w:ilvl="2" w:tplc="A9A0F262">
      <w:start w:val="1"/>
      <w:numFmt w:val="bullet"/>
      <w:lvlText w:val=""/>
      <w:lvlJc w:val="left"/>
      <w:pPr>
        <w:ind w:left="2160" w:hanging="360"/>
      </w:pPr>
      <w:rPr>
        <w:rFonts w:ascii="Wingdings" w:hAnsi="Wingdings" w:hint="default"/>
      </w:rPr>
    </w:lvl>
    <w:lvl w:ilvl="3" w:tplc="4B92A752">
      <w:start w:val="1"/>
      <w:numFmt w:val="bullet"/>
      <w:lvlText w:val=""/>
      <w:lvlJc w:val="left"/>
      <w:pPr>
        <w:ind w:left="2880" w:hanging="360"/>
      </w:pPr>
      <w:rPr>
        <w:rFonts w:ascii="Symbol" w:hAnsi="Symbol" w:hint="default"/>
      </w:rPr>
    </w:lvl>
    <w:lvl w:ilvl="4" w:tplc="64EC33CA">
      <w:start w:val="1"/>
      <w:numFmt w:val="bullet"/>
      <w:lvlText w:val="o"/>
      <w:lvlJc w:val="left"/>
      <w:pPr>
        <w:ind w:left="3600" w:hanging="360"/>
      </w:pPr>
      <w:rPr>
        <w:rFonts w:ascii="Courier New" w:hAnsi="Courier New" w:hint="default"/>
      </w:rPr>
    </w:lvl>
    <w:lvl w:ilvl="5" w:tplc="1C449ECC">
      <w:start w:val="1"/>
      <w:numFmt w:val="bullet"/>
      <w:lvlText w:val=""/>
      <w:lvlJc w:val="left"/>
      <w:pPr>
        <w:ind w:left="4320" w:hanging="360"/>
      </w:pPr>
      <w:rPr>
        <w:rFonts w:ascii="Wingdings" w:hAnsi="Wingdings" w:hint="default"/>
      </w:rPr>
    </w:lvl>
    <w:lvl w:ilvl="6" w:tplc="9C2EFF48">
      <w:start w:val="1"/>
      <w:numFmt w:val="bullet"/>
      <w:lvlText w:val=""/>
      <w:lvlJc w:val="left"/>
      <w:pPr>
        <w:ind w:left="5040" w:hanging="360"/>
      </w:pPr>
      <w:rPr>
        <w:rFonts w:ascii="Symbol" w:hAnsi="Symbol" w:hint="default"/>
      </w:rPr>
    </w:lvl>
    <w:lvl w:ilvl="7" w:tplc="31C0FBBA">
      <w:start w:val="1"/>
      <w:numFmt w:val="bullet"/>
      <w:lvlText w:val="o"/>
      <w:lvlJc w:val="left"/>
      <w:pPr>
        <w:ind w:left="5760" w:hanging="360"/>
      </w:pPr>
      <w:rPr>
        <w:rFonts w:ascii="Courier New" w:hAnsi="Courier New" w:hint="default"/>
      </w:rPr>
    </w:lvl>
    <w:lvl w:ilvl="8" w:tplc="B13499EC">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C3FE61"/>
    <w:multiLevelType w:val="hybridMultilevel"/>
    <w:tmpl w:val="FFFFFFFF"/>
    <w:lvl w:ilvl="0" w:tplc="E6806572">
      <w:start w:val="1"/>
      <w:numFmt w:val="bullet"/>
      <w:lvlText w:val=""/>
      <w:lvlJc w:val="left"/>
      <w:pPr>
        <w:ind w:left="720" w:hanging="360"/>
      </w:pPr>
      <w:rPr>
        <w:rFonts w:ascii="Symbol" w:hAnsi="Symbol" w:hint="default"/>
      </w:rPr>
    </w:lvl>
    <w:lvl w:ilvl="1" w:tplc="4C1089C8">
      <w:start w:val="1"/>
      <w:numFmt w:val="bullet"/>
      <w:lvlText w:val="o"/>
      <w:lvlJc w:val="left"/>
      <w:pPr>
        <w:ind w:left="1440" w:hanging="360"/>
      </w:pPr>
      <w:rPr>
        <w:rFonts w:ascii="Courier New" w:hAnsi="Courier New" w:hint="default"/>
      </w:rPr>
    </w:lvl>
    <w:lvl w:ilvl="2" w:tplc="4ECEB67A">
      <w:start w:val="1"/>
      <w:numFmt w:val="bullet"/>
      <w:lvlText w:val=""/>
      <w:lvlJc w:val="left"/>
      <w:pPr>
        <w:ind w:left="2160" w:hanging="360"/>
      </w:pPr>
      <w:rPr>
        <w:rFonts w:ascii="Wingdings" w:hAnsi="Wingdings" w:hint="default"/>
      </w:rPr>
    </w:lvl>
    <w:lvl w:ilvl="3" w:tplc="08E800F8">
      <w:start w:val="1"/>
      <w:numFmt w:val="bullet"/>
      <w:lvlText w:val=""/>
      <w:lvlJc w:val="left"/>
      <w:pPr>
        <w:ind w:left="2880" w:hanging="360"/>
      </w:pPr>
      <w:rPr>
        <w:rFonts w:ascii="Symbol" w:hAnsi="Symbol" w:hint="default"/>
      </w:rPr>
    </w:lvl>
    <w:lvl w:ilvl="4" w:tplc="9A064152">
      <w:start w:val="1"/>
      <w:numFmt w:val="bullet"/>
      <w:lvlText w:val="o"/>
      <w:lvlJc w:val="left"/>
      <w:pPr>
        <w:ind w:left="3600" w:hanging="360"/>
      </w:pPr>
      <w:rPr>
        <w:rFonts w:ascii="Courier New" w:hAnsi="Courier New" w:hint="default"/>
      </w:rPr>
    </w:lvl>
    <w:lvl w:ilvl="5" w:tplc="3B602828">
      <w:start w:val="1"/>
      <w:numFmt w:val="bullet"/>
      <w:lvlText w:val=""/>
      <w:lvlJc w:val="left"/>
      <w:pPr>
        <w:ind w:left="4320" w:hanging="360"/>
      </w:pPr>
      <w:rPr>
        <w:rFonts w:ascii="Wingdings" w:hAnsi="Wingdings" w:hint="default"/>
      </w:rPr>
    </w:lvl>
    <w:lvl w:ilvl="6" w:tplc="DDA21258">
      <w:start w:val="1"/>
      <w:numFmt w:val="bullet"/>
      <w:lvlText w:val=""/>
      <w:lvlJc w:val="left"/>
      <w:pPr>
        <w:ind w:left="5040" w:hanging="360"/>
      </w:pPr>
      <w:rPr>
        <w:rFonts w:ascii="Symbol" w:hAnsi="Symbol" w:hint="default"/>
      </w:rPr>
    </w:lvl>
    <w:lvl w:ilvl="7" w:tplc="0FEC22CA">
      <w:start w:val="1"/>
      <w:numFmt w:val="bullet"/>
      <w:lvlText w:val="o"/>
      <w:lvlJc w:val="left"/>
      <w:pPr>
        <w:ind w:left="5760" w:hanging="360"/>
      </w:pPr>
      <w:rPr>
        <w:rFonts w:ascii="Courier New" w:hAnsi="Courier New" w:hint="default"/>
      </w:rPr>
    </w:lvl>
    <w:lvl w:ilvl="8" w:tplc="16C625AE">
      <w:start w:val="1"/>
      <w:numFmt w:val="bullet"/>
      <w:lvlText w:val=""/>
      <w:lvlJc w:val="left"/>
      <w:pPr>
        <w:ind w:left="6480" w:hanging="36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527477623">
    <w:abstractNumId w:val="12"/>
  </w:num>
  <w:num w:numId="2" w16cid:durableId="291450881">
    <w:abstractNumId w:val="4"/>
  </w:num>
  <w:num w:numId="3" w16cid:durableId="399520179">
    <w:abstractNumId w:val="2"/>
  </w:num>
  <w:num w:numId="4" w16cid:durableId="1467239774">
    <w:abstractNumId w:val="14"/>
  </w:num>
  <w:num w:numId="5" w16cid:durableId="305012420">
    <w:abstractNumId w:val="5"/>
  </w:num>
  <w:num w:numId="6" w16cid:durableId="1801074530">
    <w:abstractNumId w:val="9"/>
  </w:num>
  <w:num w:numId="7" w16cid:durableId="852689343">
    <w:abstractNumId w:val="0"/>
  </w:num>
  <w:num w:numId="8" w16cid:durableId="1155029618">
    <w:abstractNumId w:val="8"/>
  </w:num>
  <w:num w:numId="9" w16cid:durableId="1960185826">
    <w:abstractNumId w:val="3"/>
  </w:num>
  <w:num w:numId="10" w16cid:durableId="1118447863">
    <w:abstractNumId w:val="1"/>
  </w:num>
  <w:num w:numId="11" w16cid:durableId="1819154747">
    <w:abstractNumId w:val="10"/>
  </w:num>
  <w:num w:numId="12" w16cid:durableId="199518357">
    <w:abstractNumId w:val="6"/>
  </w:num>
  <w:num w:numId="13" w16cid:durableId="2061392193">
    <w:abstractNumId w:val="13"/>
  </w:num>
  <w:num w:numId="14" w16cid:durableId="1887717819">
    <w:abstractNumId w:val="6"/>
  </w:num>
  <w:num w:numId="15" w16cid:durableId="1602907067">
    <w:abstractNumId w:val="10"/>
  </w:num>
  <w:num w:numId="16" w16cid:durableId="583103560">
    <w:abstractNumId w:val="6"/>
  </w:num>
  <w:num w:numId="17" w16cid:durableId="1557475390">
    <w:abstractNumId w:val="7"/>
  </w:num>
  <w:num w:numId="18" w16cid:durableId="169494466">
    <w:abstractNumId w:val="16"/>
  </w:num>
  <w:num w:numId="19" w16cid:durableId="41336315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49997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54C1"/>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0E37"/>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201"/>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08B3"/>
    <w:rsid w:val="000511F9"/>
    <w:rsid w:val="0005135C"/>
    <w:rsid w:val="00051B32"/>
    <w:rsid w:val="0005230E"/>
    <w:rsid w:val="00052850"/>
    <w:rsid w:val="000528A2"/>
    <w:rsid w:val="00052BBA"/>
    <w:rsid w:val="00052E57"/>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0B3"/>
    <w:rsid w:val="0008027C"/>
    <w:rsid w:val="00081EC2"/>
    <w:rsid w:val="00082154"/>
    <w:rsid w:val="00083602"/>
    <w:rsid w:val="00083800"/>
    <w:rsid w:val="00084504"/>
    <w:rsid w:val="00084A65"/>
    <w:rsid w:val="00084D5D"/>
    <w:rsid w:val="0008509E"/>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22C"/>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4DB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071"/>
    <w:rsid w:val="000E6337"/>
    <w:rsid w:val="000E7A79"/>
    <w:rsid w:val="000F12AD"/>
    <w:rsid w:val="000F15B2"/>
    <w:rsid w:val="000F19DE"/>
    <w:rsid w:val="000F2222"/>
    <w:rsid w:val="000F2649"/>
    <w:rsid w:val="000F2E1F"/>
    <w:rsid w:val="000F37B0"/>
    <w:rsid w:val="000F4595"/>
    <w:rsid w:val="000F4CB2"/>
    <w:rsid w:val="000F4E44"/>
    <w:rsid w:val="000F4E90"/>
    <w:rsid w:val="000F568D"/>
    <w:rsid w:val="000F5A01"/>
    <w:rsid w:val="000F5D39"/>
    <w:rsid w:val="000F6047"/>
    <w:rsid w:val="000F68D0"/>
    <w:rsid w:val="000F6B15"/>
    <w:rsid w:val="000F6DEF"/>
    <w:rsid w:val="000F7A75"/>
    <w:rsid w:val="00100120"/>
    <w:rsid w:val="00100457"/>
    <w:rsid w:val="0010053D"/>
    <w:rsid w:val="0010170B"/>
    <w:rsid w:val="00101C4F"/>
    <w:rsid w:val="001028BE"/>
    <w:rsid w:val="00102C9F"/>
    <w:rsid w:val="00103FC9"/>
    <w:rsid w:val="00104812"/>
    <w:rsid w:val="001062A9"/>
    <w:rsid w:val="001068D2"/>
    <w:rsid w:val="001069F2"/>
    <w:rsid w:val="00106A1B"/>
    <w:rsid w:val="0010720E"/>
    <w:rsid w:val="00107E45"/>
    <w:rsid w:val="001103BD"/>
    <w:rsid w:val="00111208"/>
    <w:rsid w:val="00111382"/>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14"/>
    <w:rsid w:val="00155BFD"/>
    <w:rsid w:val="00155E00"/>
    <w:rsid w:val="00156ABA"/>
    <w:rsid w:val="00157390"/>
    <w:rsid w:val="001601D4"/>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5F1"/>
    <w:rsid w:val="00182647"/>
    <w:rsid w:val="00182725"/>
    <w:rsid w:val="001829C8"/>
    <w:rsid w:val="0018331B"/>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5FE0"/>
    <w:rsid w:val="00196BF4"/>
    <w:rsid w:val="001972DA"/>
    <w:rsid w:val="001976AA"/>
    <w:rsid w:val="001A02F6"/>
    <w:rsid w:val="001A0D72"/>
    <w:rsid w:val="001A15C6"/>
    <w:rsid w:val="001A3EF7"/>
    <w:rsid w:val="001A4741"/>
    <w:rsid w:val="001A476B"/>
    <w:rsid w:val="001A4BB7"/>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529"/>
    <w:rsid w:val="001E3DE1"/>
    <w:rsid w:val="001E429E"/>
    <w:rsid w:val="001E4D4F"/>
    <w:rsid w:val="001E50A4"/>
    <w:rsid w:val="001E54F9"/>
    <w:rsid w:val="001E57CF"/>
    <w:rsid w:val="001E5981"/>
    <w:rsid w:val="001E6826"/>
    <w:rsid w:val="001E6E8E"/>
    <w:rsid w:val="001E74BA"/>
    <w:rsid w:val="001E7B9F"/>
    <w:rsid w:val="001E7DA6"/>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E58"/>
    <w:rsid w:val="00206F0F"/>
    <w:rsid w:val="0020708F"/>
    <w:rsid w:val="002075E0"/>
    <w:rsid w:val="00210309"/>
    <w:rsid w:val="00211519"/>
    <w:rsid w:val="0021224B"/>
    <w:rsid w:val="00212950"/>
    <w:rsid w:val="00212FB8"/>
    <w:rsid w:val="00213709"/>
    <w:rsid w:val="0021448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27FA5"/>
    <w:rsid w:val="002306F8"/>
    <w:rsid w:val="00230A66"/>
    <w:rsid w:val="002312F4"/>
    <w:rsid w:val="002313A2"/>
    <w:rsid w:val="00231EE8"/>
    <w:rsid w:val="00231FC7"/>
    <w:rsid w:val="002325CB"/>
    <w:rsid w:val="00232930"/>
    <w:rsid w:val="00232A95"/>
    <w:rsid w:val="00232C3F"/>
    <w:rsid w:val="00232DD9"/>
    <w:rsid w:val="0023308F"/>
    <w:rsid w:val="00233403"/>
    <w:rsid w:val="00233440"/>
    <w:rsid w:val="00233D0E"/>
    <w:rsid w:val="002342D4"/>
    <w:rsid w:val="00234E13"/>
    <w:rsid w:val="00236450"/>
    <w:rsid w:val="002364F0"/>
    <w:rsid w:val="00236807"/>
    <w:rsid w:val="0023765A"/>
    <w:rsid w:val="00237921"/>
    <w:rsid w:val="00240342"/>
    <w:rsid w:val="00241311"/>
    <w:rsid w:val="00241460"/>
    <w:rsid w:val="002418E8"/>
    <w:rsid w:val="00242921"/>
    <w:rsid w:val="00242E22"/>
    <w:rsid w:val="0024336B"/>
    <w:rsid w:val="00243F8B"/>
    <w:rsid w:val="00244194"/>
    <w:rsid w:val="0024424F"/>
    <w:rsid w:val="00244492"/>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39A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393D"/>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7E4"/>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043"/>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2B50"/>
    <w:rsid w:val="003237BA"/>
    <w:rsid w:val="00324792"/>
    <w:rsid w:val="0032506E"/>
    <w:rsid w:val="003251B4"/>
    <w:rsid w:val="00325D7A"/>
    <w:rsid w:val="00326145"/>
    <w:rsid w:val="003262F7"/>
    <w:rsid w:val="00327163"/>
    <w:rsid w:val="00327305"/>
    <w:rsid w:val="00327531"/>
    <w:rsid w:val="00330187"/>
    <w:rsid w:val="00331083"/>
    <w:rsid w:val="00331459"/>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0E1C"/>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652"/>
    <w:rsid w:val="00364763"/>
    <w:rsid w:val="0036483A"/>
    <w:rsid w:val="00365C3D"/>
    <w:rsid w:val="00366C1B"/>
    <w:rsid w:val="00367337"/>
    <w:rsid w:val="00367367"/>
    <w:rsid w:val="00367FD8"/>
    <w:rsid w:val="0037004E"/>
    <w:rsid w:val="0037012A"/>
    <w:rsid w:val="003702FC"/>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B16"/>
    <w:rsid w:val="00395E78"/>
    <w:rsid w:val="00397079"/>
    <w:rsid w:val="0039747B"/>
    <w:rsid w:val="00397AB6"/>
    <w:rsid w:val="00397ACA"/>
    <w:rsid w:val="003A10C3"/>
    <w:rsid w:val="003A236A"/>
    <w:rsid w:val="003A3441"/>
    <w:rsid w:val="003A4143"/>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5ED9"/>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C796D"/>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286"/>
    <w:rsid w:val="003D764F"/>
    <w:rsid w:val="003D76EF"/>
    <w:rsid w:val="003D7CBF"/>
    <w:rsid w:val="003E0042"/>
    <w:rsid w:val="003E0392"/>
    <w:rsid w:val="003E0667"/>
    <w:rsid w:val="003E0BCE"/>
    <w:rsid w:val="003E0DF3"/>
    <w:rsid w:val="003E1096"/>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2A4D"/>
    <w:rsid w:val="00433EBE"/>
    <w:rsid w:val="00434406"/>
    <w:rsid w:val="004373AD"/>
    <w:rsid w:val="004375DE"/>
    <w:rsid w:val="0044020C"/>
    <w:rsid w:val="00440FED"/>
    <w:rsid w:val="00441B92"/>
    <w:rsid w:val="004434CF"/>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485"/>
    <w:rsid w:val="00456544"/>
    <w:rsid w:val="00456649"/>
    <w:rsid w:val="004567B7"/>
    <w:rsid w:val="004567DC"/>
    <w:rsid w:val="00456856"/>
    <w:rsid w:val="004571EF"/>
    <w:rsid w:val="00460065"/>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018"/>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5DE"/>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2E7C"/>
    <w:rsid w:val="0049429B"/>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B7F42"/>
    <w:rsid w:val="004C0401"/>
    <w:rsid w:val="004C0599"/>
    <w:rsid w:val="004C0C49"/>
    <w:rsid w:val="004C1096"/>
    <w:rsid w:val="004C183D"/>
    <w:rsid w:val="004C394F"/>
    <w:rsid w:val="004C3AD4"/>
    <w:rsid w:val="004C3BBB"/>
    <w:rsid w:val="004C3EC7"/>
    <w:rsid w:val="004C3EEE"/>
    <w:rsid w:val="004C46C8"/>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1E0"/>
    <w:rsid w:val="00502CCE"/>
    <w:rsid w:val="0050318B"/>
    <w:rsid w:val="00503424"/>
    <w:rsid w:val="00503CF2"/>
    <w:rsid w:val="00504311"/>
    <w:rsid w:val="00504694"/>
    <w:rsid w:val="0050485C"/>
    <w:rsid w:val="00504AC6"/>
    <w:rsid w:val="00504D75"/>
    <w:rsid w:val="00505D51"/>
    <w:rsid w:val="00505E8E"/>
    <w:rsid w:val="00506AE9"/>
    <w:rsid w:val="005108A7"/>
    <w:rsid w:val="00510ABC"/>
    <w:rsid w:val="00511079"/>
    <w:rsid w:val="00511411"/>
    <w:rsid w:val="00511CDF"/>
    <w:rsid w:val="00512829"/>
    <w:rsid w:val="00512EC6"/>
    <w:rsid w:val="00513839"/>
    <w:rsid w:val="00513DEF"/>
    <w:rsid w:val="00513E53"/>
    <w:rsid w:val="0051423C"/>
    <w:rsid w:val="005148D4"/>
    <w:rsid w:val="00514C91"/>
    <w:rsid w:val="005151E5"/>
    <w:rsid w:val="005153CE"/>
    <w:rsid w:val="00516241"/>
    <w:rsid w:val="00516371"/>
    <w:rsid w:val="00516975"/>
    <w:rsid w:val="00516E00"/>
    <w:rsid w:val="00516FD9"/>
    <w:rsid w:val="0051701F"/>
    <w:rsid w:val="0051791D"/>
    <w:rsid w:val="00517A8D"/>
    <w:rsid w:val="0052000F"/>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B8B"/>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89"/>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98"/>
    <w:rsid w:val="005469F5"/>
    <w:rsid w:val="00546F36"/>
    <w:rsid w:val="005518ED"/>
    <w:rsid w:val="00552093"/>
    <w:rsid w:val="005529AC"/>
    <w:rsid w:val="00552E73"/>
    <w:rsid w:val="005532DF"/>
    <w:rsid w:val="00554C49"/>
    <w:rsid w:val="00554CBB"/>
    <w:rsid w:val="00554E06"/>
    <w:rsid w:val="00554E4B"/>
    <w:rsid w:val="0055519C"/>
    <w:rsid w:val="005554C1"/>
    <w:rsid w:val="00555F67"/>
    <w:rsid w:val="00556BCE"/>
    <w:rsid w:val="00556DF8"/>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0BF"/>
    <w:rsid w:val="005746C4"/>
    <w:rsid w:val="0057470C"/>
    <w:rsid w:val="00574985"/>
    <w:rsid w:val="00574B50"/>
    <w:rsid w:val="00575B3D"/>
    <w:rsid w:val="005766E3"/>
    <w:rsid w:val="0057730C"/>
    <w:rsid w:val="0057731D"/>
    <w:rsid w:val="00577835"/>
    <w:rsid w:val="00580793"/>
    <w:rsid w:val="00581470"/>
    <w:rsid w:val="0058165D"/>
    <w:rsid w:val="0058172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26F"/>
    <w:rsid w:val="0059331A"/>
    <w:rsid w:val="00593A72"/>
    <w:rsid w:val="0059425E"/>
    <w:rsid w:val="005942C2"/>
    <w:rsid w:val="00594845"/>
    <w:rsid w:val="005954FB"/>
    <w:rsid w:val="00595A8C"/>
    <w:rsid w:val="00595C2C"/>
    <w:rsid w:val="00595EEE"/>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782"/>
    <w:rsid w:val="005C298C"/>
    <w:rsid w:val="005C3DC6"/>
    <w:rsid w:val="005C4BFB"/>
    <w:rsid w:val="005C5870"/>
    <w:rsid w:val="005C69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1960"/>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975"/>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0F72"/>
    <w:rsid w:val="00671008"/>
    <w:rsid w:val="0067117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31C7"/>
    <w:rsid w:val="006859DB"/>
    <w:rsid w:val="0068615B"/>
    <w:rsid w:val="0068678D"/>
    <w:rsid w:val="006873FA"/>
    <w:rsid w:val="00687488"/>
    <w:rsid w:val="006904ED"/>
    <w:rsid w:val="00690B87"/>
    <w:rsid w:val="00690E2E"/>
    <w:rsid w:val="006915D7"/>
    <w:rsid w:val="00691C43"/>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4D82"/>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8D0"/>
    <w:rsid w:val="00711C66"/>
    <w:rsid w:val="00711E13"/>
    <w:rsid w:val="00712EDA"/>
    <w:rsid w:val="0071303E"/>
    <w:rsid w:val="007136D0"/>
    <w:rsid w:val="00714B81"/>
    <w:rsid w:val="007155A9"/>
    <w:rsid w:val="007158E1"/>
    <w:rsid w:val="00716AA6"/>
    <w:rsid w:val="0071705B"/>
    <w:rsid w:val="00720505"/>
    <w:rsid w:val="00720B34"/>
    <w:rsid w:val="00723324"/>
    <w:rsid w:val="007236A3"/>
    <w:rsid w:val="007236FF"/>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0B17"/>
    <w:rsid w:val="00742A6A"/>
    <w:rsid w:val="00742B44"/>
    <w:rsid w:val="00743008"/>
    <w:rsid w:val="00744FCD"/>
    <w:rsid w:val="0074656E"/>
    <w:rsid w:val="00746A98"/>
    <w:rsid w:val="00746CD4"/>
    <w:rsid w:val="00746F72"/>
    <w:rsid w:val="0074721E"/>
    <w:rsid w:val="007472D5"/>
    <w:rsid w:val="00750AA9"/>
    <w:rsid w:val="00751624"/>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42B"/>
    <w:rsid w:val="00772569"/>
    <w:rsid w:val="00772E8C"/>
    <w:rsid w:val="00772FDB"/>
    <w:rsid w:val="0077316B"/>
    <w:rsid w:val="007736D3"/>
    <w:rsid w:val="00773C9C"/>
    <w:rsid w:val="0077500F"/>
    <w:rsid w:val="0077534A"/>
    <w:rsid w:val="0077548E"/>
    <w:rsid w:val="00777315"/>
    <w:rsid w:val="007802E4"/>
    <w:rsid w:val="00780919"/>
    <w:rsid w:val="00780E12"/>
    <w:rsid w:val="00781589"/>
    <w:rsid w:val="00781EC6"/>
    <w:rsid w:val="007820D0"/>
    <w:rsid w:val="007826C8"/>
    <w:rsid w:val="00782FB9"/>
    <w:rsid w:val="0078324D"/>
    <w:rsid w:val="00783B6C"/>
    <w:rsid w:val="00784190"/>
    <w:rsid w:val="0078457B"/>
    <w:rsid w:val="00784756"/>
    <w:rsid w:val="007851DD"/>
    <w:rsid w:val="0078539D"/>
    <w:rsid w:val="007856C1"/>
    <w:rsid w:val="00785B0F"/>
    <w:rsid w:val="00787051"/>
    <w:rsid w:val="00787C03"/>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5AC"/>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1E1"/>
    <w:rsid w:val="007C2403"/>
    <w:rsid w:val="007C2739"/>
    <w:rsid w:val="007C2D55"/>
    <w:rsid w:val="007C3CF8"/>
    <w:rsid w:val="007C4B0F"/>
    <w:rsid w:val="007C4CDB"/>
    <w:rsid w:val="007C4DAD"/>
    <w:rsid w:val="007C4F0E"/>
    <w:rsid w:val="007C5830"/>
    <w:rsid w:val="007C5933"/>
    <w:rsid w:val="007C599E"/>
    <w:rsid w:val="007C5DB8"/>
    <w:rsid w:val="007C5DCE"/>
    <w:rsid w:val="007C6CA2"/>
    <w:rsid w:val="007D02AD"/>
    <w:rsid w:val="007D05B2"/>
    <w:rsid w:val="007D05FA"/>
    <w:rsid w:val="007D0884"/>
    <w:rsid w:val="007D0C44"/>
    <w:rsid w:val="007D1972"/>
    <w:rsid w:val="007D1F33"/>
    <w:rsid w:val="007D204D"/>
    <w:rsid w:val="007D3307"/>
    <w:rsid w:val="007D44CE"/>
    <w:rsid w:val="007D54F8"/>
    <w:rsid w:val="007D55D3"/>
    <w:rsid w:val="007D5E27"/>
    <w:rsid w:val="007D637E"/>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36"/>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760"/>
    <w:rsid w:val="00816F68"/>
    <w:rsid w:val="008173AB"/>
    <w:rsid w:val="008207F8"/>
    <w:rsid w:val="008207FD"/>
    <w:rsid w:val="008208B5"/>
    <w:rsid w:val="00820DC7"/>
    <w:rsid w:val="00820FD5"/>
    <w:rsid w:val="00820FFB"/>
    <w:rsid w:val="00821698"/>
    <w:rsid w:val="00821933"/>
    <w:rsid w:val="008221FE"/>
    <w:rsid w:val="00822BF5"/>
    <w:rsid w:val="00822CBF"/>
    <w:rsid w:val="00822DF6"/>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2F8F"/>
    <w:rsid w:val="0083350F"/>
    <w:rsid w:val="0083357E"/>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1F47"/>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472"/>
    <w:rsid w:val="00876AC3"/>
    <w:rsid w:val="00880EDF"/>
    <w:rsid w:val="00881190"/>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31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4E4"/>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24CC"/>
    <w:rsid w:val="008D3116"/>
    <w:rsid w:val="008D402A"/>
    <w:rsid w:val="008D492A"/>
    <w:rsid w:val="008D4B58"/>
    <w:rsid w:val="008D4B7F"/>
    <w:rsid w:val="008D4B8A"/>
    <w:rsid w:val="008D5571"/>
    <w:rsid w:val="008D5699"/>
    <w:rsid w:val="008D5AF1"/>
    <w:rsid w:val="008D6541"/>
    <w:rsid w:val="008D665C"/>
    <w:rsid w:val="008D73DE"/>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9FF"/>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8F787B"/>
    <w:rsid w:val="00900343"/>
    <w:rsid w:val="009006A2"/>
    <w:rsid w:val="0090102B"/>
    <w:rsid w:val="009011B9"/>
    <w:rsid w:val="00901448"/>
    <w:rsid w:val="00901764"/>
    <w:rsid w:val="00901F91"/>
    <w:rsid w:val="00902453"/>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17128"/>
    <w:rsid w:val="009213BD"/>
    <w:rsid w:val="0092247E"/>
    <w:rsid w:val="00922907"/>
    <w:rsid w:val="009230A6"/>
    <w:rsid w:val="009234C9"/>
    <w:rsid w:val="00924627"/>
    <w:rsid w:val="0092481C"/>
    <w:rsid w:val="009250A8"/>
    <w:rsid w:val="00925BE6"/>
    <w:rsid w:val="0092619F"/>
    <w:rsid w:val="00926697"/>
    <w:rsid w:val="00926F61"/>
    <w:rsid w:val="00926FA9"/>
    <w:rsid w:val="0092780D"/>
    <w:rsid w:val="00930384"/>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3F40"/>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50A"/>
    <w:rsid w:val="00961EE9"/>
    <w:rsid w:val="009628C3"/>
    <w:rsid w:val="00962C17"/>
    <w:rsid w:val="0096326C"/>
    <w:rsid w:val="009633BB"/>
    <w:rsid w:val="00963A36"/>
    <w:rsid w:val="00963B0B"/>
    <w:rsid w:val="009643DA"/>
    <w:rsid w:val="00964647"/>
    <w:rsid w:val="0096485F"/>
    <w:rsid w:val="009648D9"/>
    <w:rsid w:val="009650AD"/>
    <w:rsid w:val="00965C40"/>
    <w:rsid w:val="00966403"/>
    <w:rsid w:val="00967354"/>
    <w:rsid w:val="00970A76"/>
    <w:rsid w:val="00971256"/>
    <w:rsid w:val="00971592"/>
    <w:rsid w:val="0097159C"/>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6F"/>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6E0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05B"/>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2E6"/>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4BC9"/>
    <w:rsid w:val="009C51D5"/>
    <w:rsid w:val="009C543C"/>
    <w:rsid w:val="009C599A"/>
    <w:rsid w:val="009C5EFF"/>
    <w:rsid w:val="009C6453"/>
    <w:rsid w:val="009C650E"/>
    <w:rsid w:val="009C70DB"/>
    <w:rsid w:val="009C736A"/>
    <w:rsid w:val="009C774A"/>
    <w:rsid w:val="009D05A0"/>
    <w:rsid w:val="009D19BC"/>
    <w:rsid w:val="009D1E05"/>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5E9"/>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17EC9"/>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1C1"/>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44AF"/>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5A4"/>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940"/>
    <w:rsid w:val="00AB6D79"/>
    <w:rsid w:val="00AB709E"/>
    <w:rsid w:val="00AB7806"/>
    <w:rsid w:val="00AC02C1"/>
    <w:rsid w:val="00AC05DB"/>
    <w:rsid w:val="00AC0AB6"/>
    <w:rsid w:val="00AC10AD"/>
    <w:rsid w:val="00AC1E55"/>
    <w:rsid w:val="00AC3D06"/>
    <w:rsid w:val="00AC3FB5"/>
    <w:rsid w:val="00AC429F"/>
    <w:rsid w:val="00AC4949"/>
    <w:rsid w:val="00AC4BBE"/>
    <w:rsid w:val="00AC5051"/>
    <w:rsid w:val="00AC60B4"/>
    <w:rsid w:val="00AC67B6"/>
    <w:rsid w:val="00AC683B"/>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9C3"/>
    <w:rsid w:val="00AE3A06"/>
    <w:rsid w:val="00AE3C02"/>
    <w:rsid w:val="00AE3DE1"/>
    <w:rsid w:val="00AE5439"/>
    <w:rsid w:val="00AE5890"/>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28C"/>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66A2"/>
    <w:rsid w:val="00B36746"/>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175"/>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2B5C"/>
    <w:rsid w:val="00B74830"/>
    <w:rsid w:val="00B75454"/>
    <w:rsid w:val="00B75544"/>
    <w:rsid w:val="00B760DB"/>
    <w:rsid w:val="00B76BCD"/>
    <w:rsid w:val="00B76EE9"/>
    <w:rsid w:val="00B77231"/>
    <w:rsid w:val="00B77880"/>
    <w:rsid w:val="00B77B84"/>
    <w:rsid w:val="00B80D90"/>
    <w:rsid w:val="00B81076"/>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072B"/>
    <w:rsid w:val="00BB2459"/>
    <w:rsid w:val="00BB2F36"/>
    <w:rsid w:val="00BB3481"/>
    <w:rsid w:val="00BB3E2B"/>
    <w:rsid w:val="00BB43D1"/>
    <w:rsid w:val="00BB5182"/>
    <w:rsid w:val="00BB5D1C"/>
    <w:rsid w:val="00BB6552"/>
    <w:rsid w:val="00BB65E0"/>
    <w:rsid w:val="00BB66DD"/>
    <w:rsid w:val="00BB684E"/>
    <w:rsid w:val="00BB6B61"/>
    <w:rsid w:val="00BB6B9B"/>
    <w:rsid w:val="00BB754F"/>
    <w:rsid w:val="00BC0058"/>
    <w:rsid w:val="00BC07D4"/>
    <w:rsid w:val="00BC0A5D"/>
    <w:rsid w:val="00BC0BE3"/>
    <w:rsid w:val="00BC1AD9"/>
    <w:rsid w:val="00BC200C"/>
    <w:rsid w:val="00BC3257"/>
    <w:rsid w:val="00BC32E7"/>
    <w:rsid w:val="00BC3AB1"/>
    <w:rsid w:val="00BC4F81"/>
    <w:rsid w:val="00BC555F"/>
    <w:rsid w:val="00BC5670"/>
    <w:rsid w:val="00BC58B9"/>
    <w:rsid w:val="00BC65F9"/>
    <w:rsid w:val="00BC7331"/>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0F6"/>
    <w:rsid w:val="00BF6252"/>
    <w:rsid w:val="00BF711C"/>
    <w:rsid w:val="00BF748E"/>
    <w:rsid w:val="00BF789B"/>
    <w:rsid w:val="00C009AD"/>
    <w:rsid w:val="00C00DA5"/>
    <w:rsid w:val="00C00EEB"/>
    <w:rsid w:val="00C029E7"/>
    <w:rsid w:val="00C03309"/>
    <w:rsid w:val="00C033AE"/>
    <w:rsid w:val="00C037E0"/>
    <w:rsid w:val="00C0561B"/>
    <w:rsid w:val="00C072FE"/>
    <w:rsid w:val="00C07653"/>
    <w:rsid w:val="00C11090"/>
    <w:rsid w:val="00C115C3"/>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27CD7"/>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B74"/>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AA6"/>
    <w:rsid w:val="00C77CA4"/>
    <w:rsid w:val="00C77D26"/>
    <w:rsid w:val="00C80BCC"/>
    <w:rsid w:val="00C80BDF"/>
    <w:rsid w:val="00C810F8"/>
    <w:rsid w:val="00C815DF"/>
    <w:rsid w:val="00C81819"/>
    <w:rsid w:val="00C82FEE"/>
    <w:rsid w:val="00C833E7"/>
    <w:rsid w:val="00C839F9"/>
    <w:rsid w:val="00C83E0E"/>
    <w:rsid w:val="00C84D39"/>
    <w:rsid w:val="00C84E86"/>
    <w:rsid w:val="00C85277"/>
    <w:rsid w:val="00C85806"/>
    <w:rsid w:val="00C85D76"/>
    <w:rsid w:val="00C873AC"/>
    <w:rsid w:val="00C87DA6"/>
    <w:rsid w:val="00C87F17"/>
    <w:rsid w:val="00C915A5"/>
    <w:rsid w:val="00C91857"/>
    <w:rsid w:val="00C9213B"/>
    <w:rsid w:val="00C92223"/>
    <w:rsid w:val="00C93346"/>
    <w:rsid w:val="00C93462"/>
    <w:rsid w:val="00C93B5D"/>
    <w:rsid w:val="00C94384"/>
    <w:rsid w:val="00C94A34"/>
    <w:rsid w:val="00C94C2B"/>
    <w:rsid w:val="00C94F73"/>
    <w:rsid w:val="00C95609"/>
    <w:rsid w:val="00C96F79"/>
    <w:rsid w:val="00C9791E"/>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A7A12"/>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D2D"/>
    <w:rsid w:val="00CD3ED8"/>
    <w:rsid w:val="00CD497A"/>
    <w:rsid w:val="00CD50BF"/>
    <w:rsid w:val="00CD761D"/>
    <w:rsid w:val="00CD76B5"/>
    <w:rsid w:val="00CD78B9"/>
    <w:rsid w:val="00CD7BA5"/>
    <w:rsid w:val="00CE0624"/>
    <w:rsid w:val="00CE1B1B"/>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271"/>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B6A"/>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018"/>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3B7"/>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A15"/>
    <w:rsid w:val="00D54FB3"/>
    <w:rsid w:val="00D55889"/>
    <w:rsid w:val="00D5672F"/>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67BC7"/>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056"/>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CDB"/>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D7904"/>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6B1"/>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44F"/>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3392"/>
    <w:rsid w:val="00E44885"/>
    <w:rsid w:val="00E44906"/>
    <w:rsid w:val="00E45C77"/>
    <w:rsid w:val="00E45EA6"/>
    <w:rsid w:val="00E4608B"/>
    <w:rsid w:val="00E46D7F"/>
    <w:rsid w:val="00E471B2"/>
    <w:rsid w:val="00E478A7"/>
    <w:rsid w:val="00E501D3"/>
    <w:rsid w:val="00E5151F"/>
    <w:rsid w:val="00E529C1"/>
    <w:rsid w:val="00E5385E"/>
    <w:rsid w:val="00E53A01"/>
    <w:rsid w:val="00E54202"/>
    <w:rsid w:val="00E55A21"/>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EDC"/>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7DE"/>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DCB"/>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413"/>
    <w:rsid w:val="00EB4F83"/>
    <w:rsid w:val="00EB50A0"/>
    <w:rsid w:val="00EB584C"/>
    <w:rsid w:val="00EB5863"/>
    <w:rsid w:val="00EB5D88"/>
    <w:rsid w:val="00EB5F63"/>
    <w:rsid w:val="00EB6D14"/>
    <w:rsid w:val="00EB7307"/>
    <w:rsid w:val="00EB772D"/>
    <w:rsid w:val="00EB7AFF"/>
    <w:rsid w:val="00EC1428"/>
    <w:rsid w:val="00EC14B0"/>
    <w:rsid w:val="00EC204E"/>
    <w:rsid w:val="00EC249E"/>
    <w:rsid w:val="00EC2CFF"/>
    <w:rsid w:val="00EC2DFB"/>
    <w:rsid w:val="00EC37EE"/>
    <w:rsid w:val="00EC4904"/>
    <w:rsid w:val="00EC4DF6"/>
    <w:rsid w:val="00EC4FBA"/>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E41"/>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1767A"/>
    <w:rsid w:val="00F176EA"/>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0B"/>
    <w:rsid w:val="00F47839"/>
    <w:rsid w:val="00F52339"/>
    <w:rsid w:val="00F5277A"/>
    <w:rsid w:val="00F532E8"/>
    <w:rsid w:val="00F537FF"/>
    <w:rsid w:val="00F54920"/>
    <w:rsid w:val="00F54E36"/>
    <w:rsid w:val="00F560FE"/>
    <w:rsid w:val="00F56433"/>
    <w:rsid w:val="00F60CD6"/>
    <w:rsid w:val="00F6111C"/>
    <w:rsid w:val="00F614C0"/>
    <w:rsid w:val="00F61647"/>
    <w:rsid w:val="00F61BD5"/>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298B"/>
    <w:rsid w:val="00F82DC2"/>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89C"/>
    <w:rsid w:val="00FA3C57"/>
    <w:rsid w:val="00FA413A"/>
    <w:rsid w:val="00FA4144"/>
    <w:rsid w:val="00FA445A"/>
    <w:rsid w:val="00FA4DDF"/>
    <w:rsid w:val="00FA5C71"/>
    <w:rsid w:val="00FA645E"/>
    <w:rsid w:val="00FA6A01"/>
    <w:rsid w:val="00FA6E4A"/>
    <w:rsid w:val="00FA6E7F"/>
    <w:rsid w:val="00FA7114"/>
    <w:rsid w:val="00FA7C06"/>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1731"/>
    <w:rsid w:val="00FD236B"/>
    <w:rsid w:val="00FD2785"/>
    <w:rsid w:val="00FD2BC8"/>
    <w:rsid w:val="00FD2F09"/>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5ED"/>
    <w:rsid w:val="00FD687D"/>
    <w:rsid w:val="00FD6B74"/>
    <w:rsid w:val="00FD70AE"/>
    <w:rsid w:val="00FD7F44"/>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6F1B"/>
    <w:rsid w:val="00FF73D0"/>
    <w:rsid w:val="016EE7E9"/>
    <w:rsid w:val="01A670E5"/>
    <w:rsid w:val="01BF6EF7"/>
    <w:rsid w:val="01E6B3E5"/>
    <w:rsid w:val="02525B60"/>
    <w:rsid w:val="02589DD4"/>
    <w:rsid w:val="02D912B3"/>
    <w:rsid w:val="02E29CDE"/>
    <w:rsid w:val="033C8E7C"/>
    <w:rsid w:val="03737368"/>
    <w:rsid w:val="037475F8"/>
    <w:rsid w:val="03A86326"/>
    <w:rsid w:val="03C9C5D1"/>
    <w:rsid w:val="03D06816"/>
    <w:rsid w:val="03D243B8"/>
    <w:rsid w:val="03F37454"/>
    <w:rsid w:val="0439B9B8"/>
    <w:rsid w:val="04572CE3"/>
    <w:rsid w:val="04B7C482"/>
    <w:rsid w:val="04EA9EF6"/>
    <w:rsid w:val="0541D6DA"/>
    <w:rsid w:val="0543E0EC"/>
    <w:rsid w:val="0546D759"/>
    <w:rsid w:val="057BBA6A"/>
    <w:rsid w:val="05A431B1"/>
    <w:rsid w:val="05C3402F"/>
    <w:rsid w:val="05C9A21E"/>
    <w:rsid w:val="063BD1BC"/>
    <w:rsid w:val="064841FC"/>
    <w:rsid w:val="06703953"/>
    <w:rsid w:val="06D09BE8"/>
    <w:rsid w:val="06FE13B9"/>
    <w:rsid w:val="0709F2F6"/>
    <w:rsid w:val="072970CB"/>
    <w:rsid w:val="073C01E1"/>
    <w:rsid w:val="07CD15D8"/>
    <w:rsid w:val="07CEC832"/>
    <w:rsid w:val="07D31109"/>
    <w:rsid w:val="081FFC28"/>
    <w:rsid w:val="08235003"/>
    <w:rsid w:val="0839D397"/>
    <w:rsid w:val="08464CE9"/>
    <w:rsid w:val="0910EDED"/>
    <w:rsid w:val="0911149C"/>
    <w:rsid w:val="092B4A4A"/>
    <w:rsid w:val="092C12F1"/>
    <w:rsid w:val="09F0A7B7"/>
    <w:rsid w:val="0A785E7A"/>
    <w:rsid w:val="0A80BEFA"/>
    <w:rsid w:val="0A9CE310"/>
    <w:rsid w:val="0AC34EF0"/>
    <w:rsid w:val="0B4EDC69"/>
    <w:rsid w:val="0BCD2DE2"/>
    <w:rsid w:val="0BE1954B"/>
    <w:rsid w:val="0C0D7F64"/>
    <w:rsid w:val="0C1E8F96"/>
    <w:rsid w:val="0C61DACC"/>
    <w:rsid w:val="0C8E6D5D"/>
    <w:rsid w:val="0C96421B"/>
    <w:rsid w:val="0CCD3903"/>
    <w:rsid w:val="0D3AB7A1"/>
    <w:rsid w:val="0DB2BAE0"/>
    <w:rsid w:val="0DCCBF3B"/>
    <w:rsid w:val="0DCE6DEE"/>
    <w:rsid w:val="0E3BBAF2"/>
    <w:rsid w:val="0E64D044"/>
    <w:rsid w:val="0E84229C"/>
    <w:rsid w:val="0E92EE39"/>
    <w:rsid w:val="0EA2AE75"/>
    <w:rsid w:val="0F30A1DB"/>
    <w:rsid w:val="101225A7"/>
    <w:rsid w:val="101BB989"/>
    <w:rsid w:val="105AFE29"/>
    <w:rsid w:val="105E6AD7"/>
    <w:rsid w:val="106DEB77"/>
    <w:rsid w:val="10C234A2"/>
    <w:rsid w:val="10D30B39"/>
    <w:rsid w:val="10E807B4"/>
    <w:rsid w:val="1103E950"/>
    <w:rsid w:val="113264B8"/>
    <w:rsid w:val="1142DE38"/>
    <w:rsid w:val="11770C52"/>
    <w:rsid w:val="11B11467"/>
    <w:rsid w:val="11B9F8DE"/>
    <w:rsid w:val="1213AF33"/>
    <w:rsid w:val="12A77CCC"/>
    <w:rsid w:val="12DB4D37"/>
    <w:rsid w:val="12E7DFDF"/>
    <w:rsid w:val="12FAFE95"/>
    <w:rsid w:val="1322CB20"/>
    <w:rsid w:val="132E08FA"/>
    <w:rsid w:val="133111FB"/>
    <w:rsid w:val="1340C428"/>
    <w:rsid w:val="137A6D7E"/>
    <w:rsid w:val="138F5B74"/>
    <w:rsid w:val="13D54F32"/>
    <w:rsid w:val="13E50924"/>
    <w:rsid w:val="13FA55C9"/>
    <w:rsid w:val="141204DA"/>
    <w:rsid w:val="14384EBF"/>
    <w:rsid w:val="1446C465"/>
    <w:rsid w:val="14481BBA"/>
    <w:rsid w:val="1481E998"/>
    <w:rsid w:val="14DCF0A2"/>
    <w:rsid w:val="14E77955"/>
    <w:rsid w:val="1559DBAB"/>
    <w:rsid w:val="159F128E"/>
    <w:rsid w:val="15A48A9C"/>
    <w:rsid w:val="15A4EEEA"/>
    <w:rsid w:val="15A71971"/>
    <w:rsid w:val="15DBFCD7"/>
    <w:rsid w:val="1602B8E4"/>
    <w:rsid w:val="163094D5"/>
    <w:rsid w:val="163DC038"/>
    <w:rsid w:val="16512788"/>
    <w:rsid w:val="169021AF"/>
    <w:rsid w:val="16929CC4"/>
    <w:rsid w:val="17322E82"/>
    <w:rsid w:val="178822BE"/>
    <w:rsid w:val="17E3D0BE"/>
    <w:rsid w:val="17E724BB"/>
    <w:rsid w:val="1801CD0C"/>
    <w:rsid w:val="189AF0A7"/>
    <w:rsid w:val="18BB1E6D"/>
    <w:rsid w:val="19A18F4E"/>
    <w:rsid w:val="19BC48F9"/>
    <w:rsid w:val="1A219784"/>
    <w:rsid w:val="1A310447"/>
    <w:rsid w:val="1A86926B"/>
    <w:rsid w:val="1ABD255A"/>
    <w:rsid w:val="1AC424F7"/>
    <w:rsid w:val="1AFF5ACF"/>
    <w:rsid w:val="1B24AB6F"/>
    <w:rsid w:val="1B7797CC"/>
    <w:rsid w:val="1B8CB4FA"/>
    <w:rsid w:val="1BEA4A4C"/>
    <w:rsid w:val="1BF7DA03"/>
    <w:rsid w:val="1C05D43A"/>
    <w:rsid w:val="1C59BBE3"/>
    <w:rsid w:val="1C855E37"/>
    <w:rsid w:val="1C9EC1AC"/>
    <w:rsid w:val="1CB0BAA5"/>
    <w:rsid w:val="1CB0C8DA"/>
    <w:rsid w:val="1CBE14D4"/>
    <w:rsid w:val="1D0105A4"/>
    <w:rsid w:val="1D532845"/>
    <w:rsid w:val="1DB19932"/>
    <w:rsid w:val="1DCC879E"/>
    <w:rsid w:val="1DEE997B"/>
    <w:rsid w:val="1DF00645"/>
    <w:rsid w:val="1E0E50DA"/>
    <w:rsid w:val="1E6B8ABB"/>
    <w:rsid w:val="1E72AE24"/>
    <w:rsid w:val="1EB06141"/>
    <w:rsid w:val="1F021921"/>
    <w:rsid w:val="1F31828C"/>
    <w:rsid w:val="1F541E2F"/>
    <w:rsid w:val="1F846309"/>
    <w:rsid w:val="1FF3B538"/>
    <w:rsid w:val="20848BFF"/>
    <w:rsid w:val="20999468"/>
    <w:rsid w:val="209A3AEF"/>
    <w:rsid w:val="209DEEDD"/>
    <w:rsid w:val="20DEDF94"/>
    <w:rsid w:val="2131837A"/>
    <w:rsid w:val="21606328"/>
    <w:rsid w:val="21ACD57C"/>
    <w:rsid w:val="21C531F6"/>
    <w:rsid w:val="2213E66C"/>
    <w:rsid w:val="2253EDF2"/>
    <w:rsid w:val="2276FD19"/>
    <w:rsid w:val="2280B8DA"/>
    <w:rsid w:val="22A173C0"/>
    <w:rsid w:val="22A64B08"/>
    <w:rsid w:val="22D38B84"/>
    <w:rsid w:val="2348A346"/>
    <w:rsid w:val="234D0BA2"/>
    <w:rsid w:val="23B1EFBE"/>
    <w:rsid w:val="23BBC759"/>
    <w:rsid w:val="2408DA52"/>
    <w:rsid w:val="2450BAEB"/>
    <w:rsid w:val="249D89F3"/>
    <w:rsid w:val="24BD8728"/>
    <w:rsid w:val="24DD9FA8"/>
    <w:rsid w:val="25279C28"/>
    <w:rsid w:val="2577065A"/>
    <w:rsid w:val="25B665C4"/>
    <w:rsid w:val="262C7842"/>
    <w:rsid w:val="266CF6EF"/>
    <w:rsid w:val="26884C60"/>
    <w:rsid w:val="26913615"/>
    <w:rsid w:val="269410E9"/>
    <w:rsid w:val="2694B32A"/>
    <w:rsid w:val="26DD286E"/>
    <w:rsid w:val="272759FE"/>
    <w:rsid w:val="276A00F9"/>
    <w:rsid w:val="278BBF56"/>
    <w:rsid w:val="27EB3BA6"/>
    <w:rsid w:val="282DDDC0"/>
    <w:rsid w:val="2837B86D"/>
    <w:rsid w:val="287986B3"/>
    <w:rsid w:val="28859C15"/>
    <w:rsid w:val="28B0A193"/>
    <w:rsid w:val="29231381"/>
    <w:rsid w:val="2945EBB3"/>
    <w:rsid w:val="296CE299"/>
    <w:rsid w:val="29749BD1"/>
    <w:rsid w:val="298F5E1E"/>
    <w:rsid w:val="29C18105"/>
    <w:rsid w:val="29F4207D"/>
    <w:rsid w:val="2A2819DB"/>
    <w:rsid w:val="2B5C3194"/>
    <w:rsid w:val="2B65BFEF"/>
    <w:rsid w:val="2BA4A9DE"/>
    <w:rsid w:val="2BBAC673"/>
    <w:rsid w:val="2BBDB760"/>
    <w:rsid w:val="2BDD969D"/>
    <w:rsid w:val="2C05236F"/>
    <w:rsid w:val="2C6485C5"/>
    <w:rsid w:val="2C898A38"/>
    <w:rsid w:val="2CAE727B"/>
    <w:rsid w:val="2CD42E9C"/>
    <w:rsid w:val="2D6D8110"/>
    <w:rsid w:val="2E41ACA7"/>
    <w:rsid w:val="2E4879F6"/>
    <w:rsid w:val="2EB06F51"/>
    <w:rsid w:val="2EB48733"/>
    <w:rsid w:val="3000CC66"/>
    <w:rsid w:val="303BE7B7"/>
    <w:rsid w:val="30827D8E"/>
    <w:rsid w:val="30C04125"/>
    <w:rsid w:val="31270C73"/>
    <w:rsid w:val="313556CE"/>
    <w:rsid w:val="31E30380"/>
    <w:rsid w:val="322B4F63"/>
    <w:rsid w:val="32368065"/>
    <w:rsid w:val="324C2C4F"/>
    <w:rsid w:val="325F0787"/>
    <w:rsid w:val="32975CEE"/>
    <w:rsid w:val="32A0EBFD"/>
    <w:rsid w:val="332C8990"/>
    <w:rsid w:val="33EA9CB6"/>
    <w:rsid w:val="3459B578"/>
    <w:rsid w:val="34925885"/>
    <w:rsid w:val="34BC0873"/>
    <w:rsid w:val="34DAA5E1"/>
    <w:rsid w:val="34F2E8D3"/>
    <w:rsid w:val="34F42B22"/>
    <w:rsid w:val="35277D89"/>
    <w:rsid w:val="3599EF29"/>
    <w:rsid w:val="368E8703"/>
    <w:rsid w:val="36C7A5F8"/>
    <w:rsid w:val="372DD307"/>
    <w:rsid w:val="377DB81A"/>
    <w:rsid w:val="378356F0"/>
    <w:rsid w:val="37921C8D"/>
    <w:rsid w:val="379F1B62"/>
    <w:rsid w:val="37AADAA3"/>
    <w:rsid w:val="37DBF05D"/>
    <w:rsid w:val="380F7DC9"/>
    <w:rsid w:val="381849B5"/>
    <w:rsid w:val="38188379"/>
    <w:rsid w:val="38468DF4"/>
    <w:rsid w:val="3847969F"/>
    <w:rsid w:val="384FD6DC"/>
    <w:rsid w:val="38B27054"/>
    <w:rsid w:val="38E27684"/>
    <w:rsid w:val="38F25FE7"/>
    <w:rsid w:val="390DF9C4"/>
    <w:rsid w:val="39144807"/>
    <w:rsid w:val="396AF861"/>
    <w:rsid w:val="3982B95A"/>
    <w:rsid w:val="39FAB24A"/>
    <w:rsid w:val="3B0B61DD"/>
    <w:rsid w:val="3B0EEAD3"/>
    <w:rsid w:val="3B629A5B"/>
    <w:rsid w:val="3BA7A636"/>
    <w:rsid w:val="3C2AFD2C"/>
    <w:rsid w:val="3C47DEC8"/>
    <w:rsid w:val="3C7B0B8C"/>
    <w:rsid w:val="3D0E376F"/>
    <w:rsid w:val="3D192231"/>
    <w:rsid w:val="3D27B774"/>
    <w:rsid w:val="3D3D3D96"/>
    <w:rsid w:val="3D8D86D1"/>
    <w:rsid w:val="3DCB5CD4"/>
    <w:rsid w:val="3DEBA3C7"/>
    <w:rsid w:val="3DEC1810"/>
    <w:rsid w:val="3E5A9592"/>
    <w:rsid w:val="3E61DC49"/>
    <w:rsid w:val="3E66EB75"/>
    <w:rsid w:val="3E7FC51E"/>
    <w:rsid w:val="3ECAA4EB"/>
    <w:rsid w:val="3ED675CB"/>
    <w:rsid w:val="3EDB74FE"/>
    <w:rsid w:val="3F1414E6"/>
    <w:rsid w:val="3F61D0FA"/>
    <w:rsid w:val="3FCFA628"/>
    <w:rsid w:val="40944C8D"/>
    <w:rsid w:val="40D0E36C"/>
    <w:rsid w:val="41760B90"/>
    <w:rsid w:val="41885CE3"/>
    <w:rsid w:val="41D925D9"/>
    <w:rsid w:val="41E4BD2C"/>
    <w:rsid w:val="41E4C2E7"/>
    <w:rsid w:val="42172BF3"/>
    <w:rsid w:val="42D65425"/>
    <w:rsid w:val="42F82CB5"/>
    <w:rsid w:val="4351302D"/>
    <w:rsid w:val="43524660"/>
    <w:rsid w:val="437D03B9"/>
    <w:rsid w:val="437E63F3"/>
    <w:rsid w:val="438931C0"/>
    <w:rsid w:val="443048E2"/>
    <w:rsid w:val="44490DB0"/>
    <w:rsid w:val="446F3445"/>
    <w:rsid w:val="447FE61C"/>
    <w:rsid w:val="44FDA32D"/>
    <w:rsid w:val="45153ECF"/>
    <w:rsid w:val="456116A2"/>
    <w:rsid w:val="457EB02F"/>
    <w:rsid w:val="4584A6E7"/>
    <w:rsid w:val="45965FAE"/>
    <w:rsid w:val="45A2F26F"/>
    <w:rsid w:val="45C8DF98"/>
    <w:rsid w:val="45CA8A9D"/>
    <w:rsid w:val="45ECECF5"/>
    <w:rsid w:val="45F5ECD1"/>
    <w:rsid w:val="45FAAF7B"/>
    <w:rsid w:val="46029674"/>
    <w:rsid w:val="461D68F6"/>
    <w:rsid w:val="4640A91F"/>
    <w:rsid w:val="4659BD4A"/>
    <w:rsid w:val="4686CC4F"/>
    <w:rsid w:val="468E6C8C"/>
    <w:rsid w:val="46EAC663"/>
    <w:rsid w:val="4714D4D7"/>
    <w:rsid w:val="471AFAC3"/>
    <w:rsid w:val="47315DFC"/>
    <w:rsid w:val="47670B47"/>
    <w:rsid w:val="47B1AFCC"/>
    <w:rsid w:val="47E50551"/>
    <w:rsid w:val="481A8FD3"/>
    <w:rsid w:val="4842C720"/>
    <w:rsid w:val="4843B0EB"/>
    <w:rsid w:val="484F1750"/>
    <w:rsid w:val="48620D52"/>
    <w:rsid w:val="4869FEF5"/>
    <w:rsid w:val="486A39FC"/>
    <w:rsid w:val="48802EAC"/>
    <w:rsid w:val="48A87CA6"/>
    <w:rsid w:val="491B39B0"/>
    <w:rsid w:val="49578BCE"/>
    <w:rsid w:val="4971DE25"/>
    <w:rsid w:val="49B2F40D"/>
    <w:rsid w:val="49CB52FA"/>
    <w:rsid w:val="4A3D47DD"/>
    <w:rsid w:val="4B1DCB76"/>
    <w:rsid w:val="4B4750BA"/>
    <w:rsid w:val="4B6BCC99"/>
    <w:rsid w:val="4C29D783"/>
    <w:rsid w:val="4C8760B1"/>
    <w:rsid w:val="4C8B085C"/>
    <w:rsid w:val="4C8C3C1E"/>
    <w:rsid w:val="4CAE0901"/>
    <w:rsid w:val="4CC80CBB"/>
    <w:rsid w:val="4D2C6CC7"/>
    <w:rsid w:val="4D319531"/>
    <w:rsid w:val="4DB535AF"/>
    <w:rsid w:val="4DCD42CB"/>
    <w:rsid w:val="4E09E957"/>
    <w:rsid w:val="4E22B4E6"/>
    <w:rsid w:val="4E4E30E5"/>
    <w:rsid w:val="4E9D9CFC"/>
    <w:rsid w:val="4EA4A712"/>
    <w:rsid w:val="4EBEE419"/>
    <w:rsid w:val="4ECD28D6"/>
    <w:rsid w:val="4ED5E0DF"/>
    <w:rsid w:val="4EE07277"/>
    <w:rsid w:val="4EF93B86"/>
    <w:rsid w:val="4F26E405"/>
    <w:rsid w:val="4F577B8C"/>
    <w:rsid w:val="4FC7B0A8"/>
    <w:rsid w:val="4FC82583"/>
    <w:rsid w:val="5081FCF4"/>
    <w:rsid w:val="5083F9E8"/>
    <w:rsid w:val="50AEF704"/>
    <w:rsid w:val="511CFE93"/>
    <w:rsid w:val="51611A54"/>
    <w:rsid w:val="51632BF0"/>
    <w:rsid w:val="51887354"/>
    <w:rsid w:val="520B6954"/>
    <w:rsid w:val="521EBDCA"/>
    <w:rsid w:val="528131BC"/>
    <w:rsid w:val="52BE8246"/>
    <w:rsid w:val="52EAAEDF"/>
    <w:rsid w:val="533C5BE7"/>
    <w:rsid w:val="535D38A9"/>
    <w:rsid w:val="53A495C8"/>
    <w:rsid w:val="53AEEDC1"/>
    <w:rsid w:val="53CAAA1C"/>
    <w:rsid w:val="53DC8A7B"/>
    <w:rsid w:val="53FF3E29"/>
    <w:rsid w:val="54208D74"/>
    <w:rsid w:val="544B6D51"/>
    <w:rsid w:val="54BB96A7"/>
    <w:rsid w:val="54F4EAA4"/>
    <w:rsid w:val="552795EF"/>
    <w:rsid w:val="55505A72"/>
    <w:rsid w:val="556B6B1E"/>
    <w:rsid w:val="556BCB47"/>
    <w:rsid w:val="55A15C9C"/>
    <w:rsid w:val="55DD0014"/>
    <w:rsid w:val="55F88320"/>
    <w:rsid w:val="560C39E6"/>
    <w:rsid w:val="562CBC94"/>
    <w:rsid w:val="564C451E"/>
    <w:rsid w:val="5650E1DB"/>
    <w:rsid w:val="5652EC7F"/>
    <w:rsid w:val="565EC236"/>
    <w:rsid w:val="56D59018"/>
    <w:rsid w:val="57214887"/>
    <w:rsid w:val="5736846D"/>
    <w:rsid w:val="5740D439"/>
    <w:rsid w:val="575437A6"/>
    <w:rsid w:val="57623E8E"/>
    <w:rsid w:val="576938AB"/>
    <w:rsid w:val="57A068D7"/>
    <w:rsid w:val="57C5A7F7"/>
    <w:rsid w:val="581A7377"/>
    <w:rsid w:val="581FABAA"/>
    <w:rsid w:val="582EA97B"/>
    <w:rsid w:val="58AB8E7A"/>
    <w:rsid w:val="5953F912"/>
    <w:rsid w:val="5972A065"/>
    <w:rsid w:val="5980B7CA"/>
    <w:rsid w:val="59C2F764"/>
    <w:rsid w:val="59CF9341"/>
    <w:rsid w:val="59EBA67A"/>
    <w:rsid w:val="5A0C620C"/>
    <w:rsid w:val="5A57DCBB"/>
    <w:rsid w:val="5B755332"/>
    <w:rsid w:val="5B99CEC9"/>
    <w:rsid w:val="5BDBD54D"/>
    <w:rsid w:val="5C46DE96"/>
    <w:rsid w:val="5C482728"/>
    <w:rsid w:val="5C57E01F"/>
    <w:rsid w:val="5D0DDA55"/>
    <w:rsid w:val="5D686CE3"/>
    <w:rsid w:val="5D69504F"/>
    <w:rsid w:val="5DA4BC16"/>
    <w:rsid w:val="5DBC57BB"/>
    <w:rsid w:val="5E1AE15E"/>
    <w:rsid w:val="5E2223A2"/>
    <w:rsid w:val="5E3E7FF4"/>
    <w:rsid w:val="5E7AF07D"/>
    <w:rsid w:val="5E95B90B"/>
    <w:rsid w:val="5EE6E40B"/>
    <w:rsid w:val="5F40D570"/>
    <w:rsid w:val="5F7390E7"/>
    <w:rsid w:val="5F7E2A79"/>
    <w:rsid w:val="5FAF1005"/>
    <w:rsid w:val="60109932"/>
    <w:rsid w:val="602ADE41"/>
    <w:rsid w:val="6038BC99"/>
    <w:rsid w:val="603B7D0E"/>
    <w:rsid w:val="6052C755"/>
    <w:rsid w:val="609A5776"/>
    <w:rsid w:val="610FE768"/>
    <w:rsid w:val="6136636B"/>
    <w:rsid w:val="613A0B17"/>
    <w:rsid w:val="61443635"/>
    <w:rsid w:val="615004B1"/>
    <w:rsid w:val="61638B3A"/>
    <w:rsid w:val="619F2B7B"/>
    <w:rsid w:val="61A05A71"/>
    <w:rsid w:val="61BCB551"/>
    <w:rsid w:val="624B640A"/>
    <w:rsid w:val="6272825F"/>
    <w:rsid w:val="62A56BFB"/>
    <w:rsid w:val="62C66EF4"/>
    <w:rsid w:val="63079D34"/>
    <w:rsid w:val="63AA00E1"/>
    <w:rsid w:val="63D4F28A"/>
    <w:rsid w:val="63DC9E7B"/>
    <w:rsid w:val="63EA8438"/>
    <w:rsid w:val="64327DEB"/>
    <w:rsid w:val="6446B7FA"/>
    <w:rsid w:val="6448FD0F"/>
    <w:rsid w:val="6467418D"/>
    <w:rsid w:val="647C72E1"/>
    <w:rsid w:val="6481839A"/>
    <w:rsid w:val="64A7B12D"/>
    <w:rsid w:val="64BAF97D"/>
    <w:rsid w:val="64CD0C68"/>
    <w:rsid w:val="658E1613"/>
    <w:rsid w:val="65914965"/>
    <w:rsid w:val="65DB2B54"/>
    <w:rsid w:val="65E098C3"/>
    <w:rsid w:val="66418392"/>
    <w:rsid w:val="667F6E29"/>
    <w:rsid w:val="66E0F7C2"/>
    <w:rsid w:val="67026403"/>
    <w:rsid w:val="67213924"/>
    <w:rsid w:val="67E7175E"/>
    <w:rsid w:val="682DFD78"/>
    <w:rsid w:val="6862F3C9"/>
    <w:rsid w:val="68B3A2CD"/>
    <w:rsid w:val="68BFCB37"/>
    <w:rsid w:val="68D106E9"/>
    <w:rsid w:val="690C3A44"/>
    <w:rsid w:val="69271B45"/>
    <w:rsid w:val="6949A457"/>
    <w:rsid w:val="695BF3AE"/>
    <w:rsid w:val="69646A88"/>
    <w:rsid w:val="69FAE5AE"/>
    <w:rsid w:val="6A841DBF"/>
    <w:rsid w:val="6A8B43D5"/>
    <w:rsid w:val="6A957BCF"/>
    <w:rsid w:val="6AAF8724"/>
    <w:rsid w:val="6AC981F2"/>
    <w:rsid w:val="6ADEAF53"/>
    <w:rsid w:val="6B26448B"/>
    <w:rsid w:val="6B5AA747"/>
    <w:rsid w:val="6B67103C"/>
    <w:rsid w:val="6B962E14"/>
    <w:rsid w:val="6B96673A"/>
    <w:rsid w:val="6BD23766"/>
    <w:rsid w:val="6C595AD1"/>
    <w:rsid w:val="6CA62004"/>
    <w:rsid w:val="6DDD1AFD"/>
    <w:rsid w:val="6DE008F1"/>
    <w:rsid w:val="6DF080F7"/>
    <w:rsid w:val="6DFE472C"/>
    <w:rsid w:val="6E8D812B"/>
    <w:rsid w:val="6E910D73"/>
    <w:rsid w:val="6EAC4C80"/>
    <w:rsid w:val="6EB4EE8A"/>
    <w:rsid w:val="6EF070A2"/>
    <w:rsid w:val="6EFA13F7"/>
    <w:rsid w:val="6F449879"/>
    <w:rsid w:val="6F49892E"/>
    <w:rsid w:val="6F912EAB"/>
    <w:rsid w:val="6FA741B4"/>
    <w:rsid w:val="6FAB151D"/>
    <w:rsid w:val="6FBD5EC2"/>
    <w:rsid w:val="6FE5D044"/>
    <w:rsid w:val="700A15F3"/>
    <w:rsid w:val="70369C0F"/>
    <w:rsid w:val="7045AB3C"/>
    <w:rsid w:val="70543EC8"/>
    <w:rsid w:val="707E4F08"/>
    <w:rsid w:val="708D3143"/>
    <w:rsid w:val="70ABCA0B"/>
    <w:rsid w:val="70AC0C61"/>
    <w:rsid w:val="70B40C92"/>
    <w:rsid w:val="70B6870C"/>
    <w:rsid w:val="70B842FE"/>
    <w:rsid w:val="70D8D8E9"/>
    <w:rsid w:val="70ECF33C"/>
    <w:rsid w:val="710DED2F"/>
    <w:rsid w:val="7132D16D"/>
    <w:rsid w:val="7162E677"/>
    <w:rsid w:val="71788CDE"/>
    <w:rsid w:val="71C7D922"/>
    <w:rsid w:val="71D15FD9"/>
    <w:rsid w:val="71DA8807"/>
    <w:rsid w:val="71EFC9EA"/>
    <w:rsid w:val="71F13A83"/>
    <w:rsid w:val="7240F112"/>
    <w:rsid w:val="7269FD6A"/>
    <w:rsid w:val="72C6E2AD"/>
    <w:rsid w:val="72E485D9"/>
    <w:rsid w:val="72F93494"/>
    <w:rsid w:val="73888AFF"/>
    <w:rsid w:val="73C193B8"/>
    <w:rsid w:val="74BB0100"/>
    <w:rsid w:val="74F67265"/>
    <w:rsid w:val="751D4B04"/>
    <w:rsid w:val="75419C42"/>
    <w:rsid w:val="7567D9B8"/>
    <w:rsid w:val="75ED4A97"/>
    <w:rsid w:val="75F17F20"/>
    <w:rsid w:val="76517FB7"/>
    <w:rsid w:val="7660F570"/>
    <w:rsid w:val="768C2732"/>
    <w:rsid w:val="77140EB6"/>
    <w:rsid w:val="77BE1BFB"/>
    <w:rsid w:val="7829F61E"/>
    <w:rsid w:val="782AD212"/>
    <w:rsid w:val="782FB3E8"/>
    <w:rsid w:val="7867114A"/>
    <w:rsid w:val="78E25054"/>
    <w:rsid w:val="78ECA802"/>
    <w:rsid w:val="78F2A7F3"/>
    <w:rsid w:val="7901C999"/>
    <w:rsid w:val="793B2E3E"/>
    <w:rsid w:val="7971271B"/>
    <w:rsid w:val="7A007C14"/>
    <w:rsid w:val="7A320493"/>
    <w:rsid w:val="7ABD632B"/>
    <w:rsid w:val="7ACE946F"/>
    <w:rsid w:val="7B2BD40A"/>
    <w:rsid w:val="7B4D3E1D"/>
    <w:rsid w:val="7B5E3E8E"/>
    <w:rsid w:val="7B653297"/>
    <w:rsid w:val="7BBFE076"/>
    <w:rsid w:val="7BBFEF08"/>
    <w:rsid w:val="7BCEBF52"/>
    <w:rsid w:val="7C015A61"/>
    <w:rsid w:val="7C26737C"/>
    <w:rsid w:val="7C374C90"/>
    <w:rsid w:val="7CBF7FB7"/>
    <w:rsid w:val="7CD2C681"/>
    <w:rsid w:val="7D4761D3"/>
    <w:rsid w:val="7D4FDC1C"/>
    <w:rsid w:val="7DA0EE0E"/>
    <w:rsid w:val="7DED0EB7"/>
    <w:rsid w:val="7DF41F49"/>
    <w:rsid w:val="7E01EAAC"/>
    <w:rsid w:val="7E03F094"/>
    <w:rsid w:val="7E0C560E"/>
    <w:rsid w:val="7E237794"/>
    <w:rsid w:val="7E3CAFD7"/>
    <w:rsid w:val="7E80C45E"/>
    <w:rsid w:val="7ECDA7B0"/>
    <w:rsid w:val="7EE01729"/>
    <w:rsid w:val="7EFB36B1"/>
    <w:rsid w:val="7EFD260E"/>
    <w:rsid w:val="7F2004C0"/>
    <w:rsid w:val="7F7CE37D"/>
    <w:rsid w:val="7F958908"/>
    <w:rsid w:val="7F95D61F"/>
    <w:rsid w:val="7FB84A56"/>
    <w:rsid w:val="7FE70E31"/>
    <w:rsid w:val="7FF8759A"/>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A17E298-276E-4F1D-8532-FAB0FFE4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36A"/>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9C73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736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6"/>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7"/>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8"/>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10"/>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720B34"/>
    <w:pPr>
      <w:numPr>
        <w:numId w:val="15"/>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7"/>
      </w:numPr>
      <w:tabs>
        <w:tab w:val="clear" w:pos="1080"/>
        <w:tab w:val="left" w:pos="1440"/>
      </w:tabs>
      <w:ind w:left="0" w:firstLine="0"/>
    </w:pPr>
  </w:style>
  <w:style w:type="character" w:styleId="Strong">
    <w:name w:val="Strong"/>
    <w:basedOn w:val="DefaultParagraphFont"/>
    <w:uiPriority w:val="22"/>
    <w:qFormat/>
    <w:rsid w:val="00F478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05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50003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592550">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17422196">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72832a8-b608-4d3b-bf1e-dfc7420326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730D5161A3AC4C80015499E0CDCD5B" ma:contentTypeVersion="16" ma:contentTypeDescription="Create a new document." ma:contentTypeScope="" ma:versionID="6c5bdf5b16977e9f0ee07a04160bbfe7">
  <xsd:schema xmlns:xsd="http://www.w3.org/2001/XMLSchema" xmlns:xs="http://www.w3.org/2001/XMLSchema" xmlns:p="http://schemas.microsoft.com/office/2006/metadata/properties" xmlns:ns3="272832a8-b608-4d3b-bf1e-dfc742032625" xmlns:ns4="a3fb75bb-65b2-4fd4-86ab-e948a3e9d153" targetNamespace="http://schemas.microsoft.com/office/2006/metadata/properties" ma:root="true" ma:fieldsID="92c7e96d02ab9629302a34b72e7a6adf" ns3:_="" ns4:_="">
    <xsd:import namespace="272832a8-b608-4d3b-bf1e-dfc742032625"/>
    <xsd:import namespace="a3fb75bb-65b2-4fd4-86ab-e948a3e9d15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832a8-b608-4d3b-bf1e-dfc742032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b75bb-65b2-4fd4-86ab-e948a3e9d15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BE6ED-8D5D-474F-BEE9-1F09C5D9BA55}">
  <ds:schemaRefs>
    <ds:schemaRef ds:uri="http://schemas.microsoft.com/sharepoint/v3/contenttype/forms"/>
  </ds:schemaRefs>
</ds:datastoreItem>
</file>

<file path=customXml/itemProps2.xml><?xml version="1.0" encoding="utf-8"?>
<ds:datastoreItem xmlns:ds="http://schemas.openxmlformats.org/officeDocument/2006/customXml" ds:itemID="{D7582E80-2615-42B6-9790-D46E8EF25C33}">
  <ds:schemaRefs>
    <ds:schemaRef ds:uri="http://schemas.microsoft.com/office/2006/metadata/properties"/>
    <ds:schemaRef ds:uri="http://schemas.microsoft.com/office/infopath/2007/PartnerControls"/>
    <ds:schemaRef ds:uri="272832a8-b608-4d3b-bf1e-dfc742032625"/>
  </ds:schemaRefs>
</ds:datastoreItem>
</file>

<file path=customXml/itemProps3.xml><?xml version="1.0" encoding="utf-8"?>
<ds:datastoreItem xmlns:ds="http://schemas.openxmlformats.org/officeDocument/2006/customXml" ds:itemID="{D22FEB11-EFAD-47BC-AE5C-62BC4E2D7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2832a8-b608-4d3b-bf1e-dfc742032625"/>
    <ds:schemaRef ds:uri="a3fb75bb-65b2-4fd4-86ab-e948a3e9d1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86B67A-2D77-42D6-A9EA-2C2B85885E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2236</Words>
  <Characters>12508</Characters>
  <Application>Microsoft Office Word</Application>
  <DocSecurity>2</DocSecurity>
  <Lines>104</Lines>
  <Paragraphs>29</Paragraphs>
  <ScaleCrop>false</ScaleCrop>
  <Company/>
  <LinksUpToDate>false</LinksUpToDate>
  <CharactersWithSpaces>14715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Umur Karabulut</cp:lastModifiedBy>
  <cp:revision>94</cp:revision>
  <dcterms:created xsi:type="dcterms:W3CDTF">2025-10-30T04:29:00Z</dcterms:created>
  <dcterms:modified xsi:type="dcterms:W3CDTF">2025-11-07T06:49:00Z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0x0101001B730D5161A3AC4C80015499E0CDCD5B</vt:lpwstr>
  </property>
</Properties>
</file>